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Table of Contents</w:t>
      </w:r>
    </w:p>
    <w:p>
      <w:pPr>
        <w:spacing w:after="0" w:line="1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125730</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72"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FORM 20-F/A</w:t>
      </w:r>
    </w:p>
    <w:p>
      <w:pPr>
        <w:spacing w:after="0" w:line="3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Amendment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40005</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50" w:lineRule="exact"/>
        <w:rPr>
          <w:sz w:val="24"/>
          <w:szCs w:val="24"/>
          <w:color w:val="auto"/>
        </w:rPr>
      </w:pPr>
    </w:p>
    <w:p>
      <w:pPr>
        <w:ind w:left="5480" w:right="940" w:hanging="5472"/>
        <w:spacing w:after="0" w:line="385" w:lineRule="auto"/>
        <w:tabs>
          <w:tab w:leader="none" w:pos="4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 OR</w:t>
      </w:r>
    </w:p>
    <w:p>
      <w:pPr>
        <w:spacing w:after="0" w:line="42"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140"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44"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3420" w:right="1600" w:hanging="3412"/>
        <w:spacing w:after="0" w:line="385" w:lineRule="auto"/>
        <w:tabs>
          <w:tab w:leader="none" w:pos="437"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37" w:lineRule="exact"/>
        <w:rPr>
          <w:rFonts w:ascii="MS PGothic" w:cs="MS PGothic" w:eastAsia="MS PGothic" w:hAnsi="MS PGothic"/>
          <w:sz w:val="18"/>
          <w:szCs w:val="18"/>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001-42981</w:t>
      </w:r>
    </w:p>
    <w:p>
      <w:pPr>
        <w:spacing w:after="0" w:line="1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DAVION HEALTHCARE PLC</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1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Republic of Ireland</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1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Cube Building, Monahan Road,</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Cork, T12 H1XY, Ireland</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Telephone: +353 21 212 9330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David E. Price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 Bethesda Metro Center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Suite 700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Bethesda</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MD 20814</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202 536 5191</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agent for service)</w:t>
      </w:r>
    </w:p>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Transfer Agent and Registrar in the United States:</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VStock Transfer LLC, 18 Lafayette Place, Woodmere, NY 11598, USA</w:t>
      </w:r>
    </w:p>
    <w:p>
      <w:pPr>
        <w:spacing w:after="0" w:line="122" w:lineRule="exact"/>
        <w:rPr>
          <w:sz w:val="24"/>
          <w:szCs w:val="24"/>
          <w:color w:val="auto"/>
        </w:rPr>
      </w:pPr>
    </w:p>
    <w:tbl>
      <w:tblPr>
        <w:tblLayout w:type="fixed"/>
        <w:tblInd w:w="122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340" w:type="dxa"/>
            <w:vAlign w:val="bottom"/>
            <w:gridSpan w:val="5"/>
          </w:tcPr>
          <w:p>
            <w:pPr>
              <w:jc w:val="center"/>
              <w:ind w:right="2250"/>
              <w:spacing w:after="0"/>
              <w:rPr>
                <w:sz w:val="20"/>
                <w:szCs w:val="20"/>
                <w:color w:val="auto"/>
              </w:rPr>
            </w:pPr>
            <w:r>
              <w:rPr>
                <w:rFonts w:ascii="Times New Roman" w:cs="Times New Roman" w:eastAsia="Times New Roman" w:hAnsi="Times New Roman"/>
                <w:sz w:val="18"/>
                <w:szCs w:val="18"/>
                <w:b w:val="1"/>
                <w:bCs w:val="1"/>
                <w:color w:val="auto"/>
                <w:w w:val="99"/>
              </w:rPr>
              <w:t>Securities registered or to be registered pursuant to Section 12(b) of the Act:</w:t>
            </w:r>
          </w:p>
        </w:tc>
      </w:tr>
      <w:tr>
        <w:trPr>
          <w:trHeight w:val="310"/>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of each class</w:t>
            </w:r>
          </w:p>
        </w:tc>
        <w:tc>
          <w:tcPr>
            <w:tcW w:w="2420" w:type="dxa"/>
            <w:vAlign w:val="bottom"/>
          </w:tcPr>
          <w:p>
            <w:pPr>
              <w:spacing w:after="0"/>
              <w:rPr>
                <w:sz w:val="24"/>
                <w:szCs w:val="24"/>
                <w:color w:val="auto"/>
              </w:rPr>
            </w:pPr>
          </w:p>
        </w:tc>
        <w:tc>
          <w:tcPr>
            <w:tcW w:w="194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98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7"/>
        </w:trPr>
        <w:tc>
          <w:tcPr>
            <w:tcW w:w="1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Common Shares</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DAVI</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r>
    </w:tbl>
    <w:p>
      <w:pPr>
        <w:spacing w:after="0" w:line="1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Securities registered or to be registered pursuant to Section 12(g) of the Act: </w:t>
      </w: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Securities for which there is reporting obligation pursuant to Section 15(d) of the Act: </w:t>
      </w:r>
      <w:r>
        <w:rPr>
          <w:rFonts w:ascii="Times New Roman" w:cs="Times New Roman" w:eastAsia="Times New Roman" w:hAnsi="Times New Roman"/>
          <w:sz w:val="18"/>
          <w:szCs w:val="18"/>
          <w:b w:val="1"/>
          <w:bCs w:val="1"/>
          <w:color w:val="auto"/>
        </w:rPr>
        <w:t>None</w:t>
      </w:r>
    </w:p>
    <w:p>
      <w:pPr>
        <w:spacing w:after="0" w:line="12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Annual Report:</w:t>
      </w:r>
    </w:p>
    <w:p>
      <w:pPr>
        <w:spacing w:after="0" w:line="1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25,000,000 Ordinary Shares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(as of December 31, 2025)</w:t>
      </w:r>
    </w:p>
    <w:p>
      <w:pPr>
        <w:spacing w:after="0" w:line="12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03" w:lineRule="exact"/>
        <w:rPr>
          <w:sz w:val="24"/>
          <w:szCs w:val="24"/>
          <w:color w:val="auto"/>
        </w:rPr>
      </w:pPr>
    </w:p>
    <w:p>
      <w:pPr>
        <w:ind w:left="51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5" w:lineRule="exact"/>
        <w:rPr>
          <w:sz w:val="24"/>
          <w:szCs w:val="24"/>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jc w:val="center"/>
        <w:ind w:right="-5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5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jc w:val="center"/>
        <w:ind w:right="-5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180"/>
          </w:cols>
          <w:pgMar w:left="320" w:top="351" w:right="399" w:bottom="0" w:gutter="0" w:footer="0" w:header="0"/>
        </w:sectPr>
      </w:pPr>
    </w:p>
    <w:bookmarkStart w:id="1" w:name="page2"/>
    <w:bookmarkEnd w:id="1"/>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40" w:lineRule="exact"/>
        <w:rPr>
          <w:sz w:val="20"/>
          <w:szCs w:val="20"/>
          <w:color w:val="auto"/>
        </w:rPr>
      </w:pPr>
    </w:p>
    <w:p>
      <w:pPr>
        <w:ind w:left="440"/>
        <w:spacing w:after="0" w:line="207" w:lineRule="exact"/>
        <w:tabs>
          <w:tab w:leader="none" w:pos="3160" w:val="left"/>
          <w:tab w:leader="none" w:pos="5540" w:val="left"/>
          <w:tab w:leader="none" w:pos="84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5" w:lineRule="exact"/>
        <w:rPr>
          <w:sz w:val="20"/>
          <w:szCs w:val="20"/>
          <w:color w:val="auto"/>
        </w:rPr>
      </w:pPr>
    </w:p>
    <w:p>
      <w:pPr>
        <w:jc w:val="both"/>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0" w:lineRule="exact"/>
        <w:rPr>
          <w:sz w:val="20"/>
          <w:szCs w:val="20"/>
          <w:color w:val="auto"/>
        </w:rPr>
      </w:pPr>
    </w:p>
    <w:p>
      <w:pPr>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90" w:lineRule="exact"/>
        <w:rPr>
          <w:sz w:val="20"/>
          <w:szCs w:val="20"/>
          <w:color w:val="auto"/>
        </w:rPr>
      </w:pPr>
    </w:p>
    <w:p>
      <w:pPr>
        <w:ind w:right="4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89" w:lineRule="exact"/>
        <w:rPr>
          <w:sz w:val="20"/>
          <w:szCs w:val="20"/>
          <w:color w:val="auto"/>
        </w:rPr>
      </w:pPr>
    </w:p>
    <w:p>
      <w:pPr>
        <w:ind w:right="4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1180"/>
          </w:cols>
          <w:pgMar w:left="320" w:top="121" w:right="399" w:bottom="1440" w:gutter="0" w:footer="0" w:header="0"/>
        </w:sectPr>
      </w:pPr>
    </w:p>
    <w:p>
      <w:pPr>
        <w:spacing w:after="0" w:line="103" w:lineRule="exact"/>
        <w:rPr>
          <w:sz w:val="20"/>
          <w:szCs w:val="20"/>
          <w:color w:val="auto"/>
        </w:rPr>
      </w:pPr>
    </w:p>
    <w:p>
      <w:pPr>
        <w:jc w:val="center"/>
        <w:ind w:left="720"/>
        <w:spacing w:after="0" w:line="196" w:lineRule="exact"/>
        <w:rPr>
          <w:sz w:val="20"/>
          <w:szCs w:val="20"/>
          <w:color w:val="auto"/>
        </w:rPr>
      </w:pPr>
      <w:r>
        <w:rPr>
          <w:rFonts w:ascii="Times New Roman" w:cs="Times New Roman" w:eastAsia="Times New Roman" w:hAnsi="Times New Roman"/>
          <w:sz w:val="17"/>
          <w:szCs w:val="17"/>
          <w:color w:val="auto"/>
        </w:rPr>
        <w:t xml:space="preserve">U.S. GAAP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820"/>
        <w:spacing w:after="0" w:line="239" w:lineRule="exact"/>
        <w:rPr>
          <w:sz w:val="20"/>
          <w:szCs w:val="20"/>
          <w:color w:val="auto"/>
        </w:rPr>
      </w:pPr>
      <w:r>
        <w:rPr>
          <w:rFonts w:ascii="Times New Roman" w:cs="Times New Roman" w:eastAsia="Times New Roman" w:hAnsi="Times New Roman"/>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Other </w:t>
      </w:r>
      <w:r>
        <w:rPr>
          <w:rFonts w:ascii="MS PGothic" w:cs="MS PGothic" w:eastAsia="MS PGothic" w:hAnsi="MS PGothic"/>
          <w:sz w:val="16"/>
          <w:szCs w:val="16"/>
          <w:color w:val="auto"/>
        </w:rPr>
        <w:t>☐</w:t>
      </w:r>
    </w:p>
    <w:p>
      <w:pPr>
        <w:spacing w:after="0" w:line="423" w:lineRule="exact"/>
        <w:rPr>
          <w:sz w:val="20"/>
          <w:szCs w:val="20"/>
          <w:color w:val="auto"/>
        </w:rPr>
      </w:pPr>
    </w:p>
    <w:p>
      <w:pPr>
        <w:sectPr>
          <w:pgSz w:w="11900" w:h="16838" w:orient="portrait"/>
          <w:cols w:equalWidth="0" w:num="3">
            <w:col w:w="2660" w:space="720"/>
            <w:col w:w="5160" w:space="720"/>
            <w:col w:w="1920"/>
          </w:cols>
          <w:pgMar w:left="320" w:top="121" w:right="399" w:bottom="1440" w:gutter="0" w:footer="0" w:header="0"/>
          <w:type w:val="continuous"/>
        </w:sect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w:t>
      </w:r>
    </w:p>
    <w:p>
      <w:pPr>
        <w:spacing w:after="0" w:line="40" w:lineRule="exact"/>
        <w:rPr>
          <w:sz w:val="20"/>
          <w:szCs w:val="20"/>
          <w:color w:val="auto"/>
        </w:rPr>
      </w:pPr>
    </w:p>
    <w:p>
      <w:pPr>
        <w:jc w:val="center"/>
        <w:ind w:right="-79"/>
        <w:spacing w:after="0" w:line="207" w:lineRule="exact"/>
        <w:rPr>
          <w:sz w:val="20"/>
          <w:szCs w:val="20"/>
          <w:color w:val="auto"/>
        </w:rPr>
      </w:pPr>
      <w:r>
        <w:rPr>
          <w:rFonts w:ascii="Times New Roman" w:cs="Times New Roman" w:eastAsia="Times New Roman" w:hAnsi="Times New Roman"/>
          <w:sz w:val="18"/>
          <w:szCs w:val="18"/>
          <w:color w:val="auto"/>
        </w:rPr>
        <w:t xml:space="preserve">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18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w:t>
      </w:r>
    </w:p>
    <w:p>
      <w:pPr>
        <w:spacing w:after="0" w:line="103" w:lineRule="exact"/>
        <w:rPr>
          <w:sz w:val="20"/>
          <w:szCs w:val="20"/>
          <w:color w:val="auto"/>
        </w:rPr>
      </w:pPr>
    </w:p>
    <w:p>
      <w:pPr>
        <w:jc w:val="center"/>
        <w:ind w:right="-7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20-F/A to the Annual Report on Form 20-F of Davion Healthcare Plc is being filed solely to correct a typographical error in the date of the Company's independent registered public accounting firm on page F-1. There are no other changes to this document other than dates for the signature page and certifications and references to the 20-F/A.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40" w:type="dxa"/>
            <w:vAlign w:val="bottom"/>
            <w:gridSpan w:val="10"/>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60" w:type="dxa"/>
            <w:vAlign w:val="bottom"/>
          </w:tcPr>
          <w:p>
            <w:pPr>
              <w:spacing w:after="0"/>
              <w:rPr>
                <w:sz w:val="20"/>
                <w:szCs w:val="20"/>
                <w:color w:val="auto"/>
              </w:rPr>
            </w:pPr>
          </w:p>
        </w:tc>
      </w:tr>
      <w:tr>
        <w:trPr>
          <w:trHeight w:val="439"/>
        </w:trPr>
        <w:tc>
          <w:tcPr>
            <w:tcW w:w="1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2"/>
        </w:trPr>
        <w:tc>
          <w:tcPr>
            <w:tcW w:w="1240" w:type="dxa"/>
            <w:vAlign w:val="bottom"/>
            <w:shd w:val="clear" w:color="auto" w:fill="CCEEFF"/>
          </w:tcPr>
          <w:p>
            <w:pPr>
              <w:spacing w:after="0"/>
              <w:rPr>
                <w:sz w:val="14"/>
                <w:szCs w:val="14"/>
                <w:color w:val="auto"/>
              </w:rPr>
            </w:pPr>
          </w:p>
        </w:tc>
        <w:tc>
          <w:tcPr>
            <w:tcW w:w="9340" w:type="dxa"/>
            <w:vAlign w:val="bottom"/>
            <w:gridSpan w:val="41"/>
            <w:shd w:val="clear" w:color="auto" w:fill="CCEEFF"/>
          </w:tcPr>
          <w:p>
            <w:pPr>
              <w:ind w:left="80"/>
              <w:spacing w:after="0" w:line="142" w:lineRule="exact"/>
              <w:rPr>
                <w:sz w:val="20"/>
                <w:szCs w:val="20"/>
                <w:color w:val="auto"/>
              </w:rPr>
            </w:pPr>
            <w:r>
              <w:rPr>
                <w:rFonts w:ascii="Times New Roman" w:cs="Times New Roman" w:eastAsia="Times New Roman" w:hAnsi="Times New Roman"/>
                <w:sz w:val="16"/>
                <w:szCs w:val="16"/>
                <w:color w:val="0000EE"/>
              </w:rPr>
              <w:t>PRESENTATION OF FINANCIAL AND OTHER INFORMATION</w:t>
            </w:r>
          </w:p>
        </w:tc>
        <w:tc>
          <w:tcPr>
            <w:tcW w:w="66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1</w:t>
            </w:r>
          </w:p>
        </w:tc>
      </w:tr>
      <w:tr>
        <w:trPr>
          <w:trHeight w:val="34"/>
        </w:trPr>
        <w:tc>
          <w:tcPr>
            <w:tcW w:w="1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r>
      <w:tr>
        <w:trPr>
          <w:trHeight w:val="176"/>
        </w:trPr>
        <w:tc>
          <w:tcPr>
            <w:tcW w:w="1240" w:type="dxa"/>
            <w:vAlign w:val="bottom"/>
          </w:tcPr>
          <w:p>
            <w:pPr>
              <w:spacing w:after="0"/>
              <w:rPr>
                <w:sz w:val="15"/>
                <w:szCs w:val="15"/>
                <w:color w:val="auto"/>
              </w:rPr>
            </w:pP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MARKET, INDUSTRY AND OTHER DATA</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240" w:type="dxa"/>
            <w:vAlign w:val="bottom"/>
            <w:shd w:val="clear" w:color="auto" w:fill="CCEEFF"/>
          </w:tcPr>
          <w:p>
            <w:pPr>
              <w:spacing w:after="0"/>
              <w:rPr>
                <w:sz w:val="17"/>
                <w:szCs w:val="17"/>
                <w:color w:val="auto"/>
              </w:rPr>
            </w:pP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96"/>
        </w:trPr>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20" w:type="dxa"/>
            <w:vAlign w:val="bottom"/>
            <w:gridSpan w:val="5"/>
            <w:shd w:val="clear" w:color="auto" w:fill="CCEEFF"/>
          </w:tcPr>
          <w:p>
            <w:pPr>
              <w:jc w:val="center"/>
              <w:ind w:right="4640"/>
              <w:spacing w:after="0" w:line="176" w:lineRule="exact"/>
              <w:rPr>
                <w:sz w:val="20"/>
                <w:szCs w:val="20"/>
                <w:color w:val="auto"/>
              </w:rPr>
            </w:pPr>
            <w:r>
              <w:rPr>
                <w:rFonts w:ascii="Times New Roman" w:cs="Times New Roman" w:eastAsia="Times New Roman" w:hAnsi="Times New Roman"/>
                <w:sz w:val="18"/>
                <w:szCs w:val="18"/>
                <w:b w:val="1"/>
                <w:bCs w:val="1"/>
                <w:color w:val="0000EE"/>
                <w:w w:val="95"/>
              </w:rPr>
              <w:t>PART I</w:t>
            </w:r>
          </w:p>
        </w:tc>
        <w:tc>
          <w:tcPr>
            <w:tcW w:w="660" w:type="dxa"/>
            <w:vAlign w:val="bottom"/>
            <w:shd w:val="clear" w:color="auto" w:fill="CCEEFF"/>
          </w:tcPr>
          <w:p>
            <w:pPr>
              <w:spacing w:after="0"/>
              <w:rPr>
                <w:sz w:val="17"/>
                <w:szCs w:val="17"/>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76"/>
        </w:trPr>
        <w:tc>
          <w:tcPr>
            <w:tcW w:w="12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Key Information</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ind w:left="1000"/>
              <w:spacing w:after="0" w:line="176" w:lineRule="exact"/>
              <w:rPr>
                <w:sz w:val="20"/>
                <w:szCs w:val="20"/>
                <w:color w:val="auto"/>
              </w:rPr>
            </w:pPr>
            <w:r>
              <w:rPr>
                <w:rFonts w:ascii="Times New Roman" w:cs="Times New Roman" w:eastAsia="Times New Roman" w:hAnsi="Times New Roman"/>
                <w:sz w:val="18"/>
                <w:szCs w:val="18"/>
                <w:color w:val="auto"/>
              </w:rPr>
              <w:t>A.</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B.</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Capitalization and Indebtedness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tcPr>
          <w:p>
            <w:pPr>
              <w:ind w:left="1000"/>
              <w:spacing w:after="0" w:line="176" w:lineRule="exact"/>
              <w:rPr>
                <w:sz w:val="20"/>
                <w:szCs w:val="20"/>
                <w:color w:val="auto"/>
              </w:rPr>
            </w:pPr>
            <w:r>
              <w:rPr>
                <w:rFonts w:ascii="Times New Roman" w:cs="Times New Roman" w:eastAsia="Times New Roman" w:hAnsi="Times New Roman"/>
                <w:sz w:val="18"/>
                <w:szCs w:val="18"/>
                <w:color w:val="auto"/>
              </w:rPr>
              <w:t>C.</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Reasons for the Offer and Use of Proceeds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D.</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A.</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History and Development of the Company</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tcPr>
          <w:p>
            <w:pPr>
              <w:ind w:left="1000"/>
              <w:spacing w:after="0" w:line="176" w:lineRule="exact"/>
              <w:rPr>
                <w:sz w:val="20"/>
                <w:szCs w:val="20"/>
                <w:color w:val="auto"/>
              </w:rPr>
            </w:pPr>
            <w:r>
              <w:rPr>
                <w:rFonts w:ascii="Times New Roman" w:cs="Times New Roman" w:eastAsia="Times New Roman" w:hAnsi="Times New Roman"/>
                <w:sz w:val="18"/>
                <w:szCs w:val="18"/>
                <w:color w:val="auto"/>
              </w:rPr>
              <w:t>B.</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Business Overview</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C.</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Organizational Structure</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tcPr>
          <w:p>
            <w:pPr>
              <w:ind w:left="1000"/>
              <w:spacing w:after="0" w:line="176" w:lineRule="exact"/>
              <w:rPr>
                <w:sz w:val="20"/>
                <w:szCs w:val="20"/>
                <w:color w:val="auto"/>
              </w:rPr>
            </w:pPr>
            <w:r>
              <w:rPr>
                <w:rFonts w:ascii="Times New Roman" w:cs="Times New Roman" w:eastAsia="Times New Roman" w:hAnsi="Times New Roman"/>
                <w:sz w:val="18"/>
                <w:szCs w:val="18"/>
                <w:color w:val="auto"/>
              </w:rPr>
              <w:t>D.</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Property, Plant and Equipment</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4A.</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A.</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Operating Results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tcPr>
          <w:p>
            <w:pPr>
              <w:ind w:left="1000"/>
              <w:spacing w:after="0" w:line="176" w:lineRule="exact"/>
              <w:rPr>
                <w:sz w:val="20"/>
                <w:szCs w:val="20"/>
                <w:color w:val="auto"/>
              </w:rPr>
            </w:pPr>
            <w:r>
              <w:rPr>
                <w:rFonts w:ascii="Times New Roman" w:cs="Times New Roman" w:eastAsia="Times New Roman" w:hAnsi="Times New Roman"/>
                <w:sz w:val="18"/>
                <w:szCs w:val="18"/>
                <w:color w:val="auto"/>
              </w:rPr>
              <w:t>B.</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Liquidity and Capital Resources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C.</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Research and Development, Patents and Licenses, etc.</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tcPr>
          <w:p>
            <w:pPr>
              <w:ind w:left="1000"/>
              <w:spacing w:after="0" w:line="176" w:lineRule="exact"/>
              <w:rPr>
                <w:sz w:val="20"/>
                <w:szCs w:val="20"/>
                <w:color w:val="auto"/>
              </w:rPr>
            </w:pPr>
            <w:r>
              <w:rPr>
                <w:rFonts w:ascii="Times New Roman" w:cs="Times New Roman" w:eastAsia="Times New Roman" w:hAnsi="Times New Roman"/>
                <w:sz w:val="18"/>
                <w:szCs w:val="18"/>
                <w:color w:val="auto"/>
              </w:rPr>
              <w:t>D.</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Trend Information</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E.</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Critical Accounting Estimates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A.</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Directors and Senior Management</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ind w:left="1000"/>
              <w:spacing w:after="0" w:line="176" w:lineRule="exact"/>
              <w:rPr>
                <w:sz w:val="20"/>
                <w:szCs w:val="20"/>
                <w:color w:val="auto"/>
              </w:rPr>
            </w:pPr>
            <w:r>
              <w:rPr>
                <w:rFonts w:ascii="Times New Roman" w:cs="Times New Roman" w:eastAsia="Times New Roman" w:hAnsi="Times New Roman"/>
                <w:sz w:val="18"/>
                <w:szCs w:val="18"/>
                <w:color w:val="auto"/>
              </w:rPr>
              <w:t>B.</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Compensation</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C.</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Board Practices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ind w:left="1000"/>
              <w:spacing w:after="0" w:line="176" w:lineRule="exact"/>
              <w:rPr>
                <w:sz w:val="20"/>
                <w:szCs w:val="20"/>
                <w:color w:val="auto"/>
              </w:rPr>
            </w:pPr>
            <w:r>
              <w:rPr>
                <w:rFonts w:ascii="Times New Roman" w:cs="Times New Roman" w:eastAsia="Times New Roman" w:hAnsi="Times New Roman"/>
                <w:sz w:val="18"/>
                <w:szCs w:val="18"/>
                <w:color w:val="auto"/>
              </w:rPr>
              <w:t>D.</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Employees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E.</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Share Ownership</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A.</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Major Shareholders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tcPr>
          <w:p>
            <w:pPr>
              <w:ind w:left="1000"/>
              <w:spacing w:after="0" w:line="176" w:lineRule="exact"/>
              <w:rPr>
                <w:sz w:val="20"/>
                <w:szCs w:val="20"/>
                <w:color w:val="auto"/>
              </w:rPr>
            </w:pPr>
            <w:r>
              <w:rPr>
                <w:rFonts w:ascii="Times New Roman" w:cs="Times New Roman" w:eastAsia="Times New Roman" w:hAnsi="Times New Roman"/>
                <w:sz w:val="18"/>
                <w:szCs w:val="18"/>
                <w:color w:val="auto"/>
              </w:rPr>
              <w:t>B.</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C.</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Interests of Experts and Counsel</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A.</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Consolidated Statements and Other Financial Information</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ind w:left="1000"/>
              <w:spacing w:after="0" w:line="176" w:lineRule="exact"/>
              <w:rPr>
                <w:sz w:val="20"/>
                <w:szCs w:val="20"/>
                <w:color w:val="auto"/>
              </w:rPr>
            </w:pPr>
            <w:r>
              <w:rPr>
                <w:rFonts w:ascii="Times New Roman" w:cs="Times New Roman" w:eastAsia="Times New Roman" w:hAnsi="Times New Roman"/>
                <w:sz w:val="18"/>
                <w:szCs w:val="18"/>
                <w:color w:val="auto"/>
              </w:rPr>
              <w:t>B.</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Significant Changes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The Offer and Listing</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ind w:left="1000"/>
              <w:spacing w:after="0" w:line="176" w:lineRule="exact"/>
              <w:rPr>
                <w:sz w:val="20"/>
                <w:szCs w:val="20"/>
                <w:color w:val="auto"/>
              </w:rPr>
            </w:pPr>
            <w:r>
              <w:rPr>
                <w:rFonts w:ascii="Times New Roman" w:cs="Times New Roman" w:eastAsia="Times New Roman" w:hAnsi="Times New Roman"/>
                <w:sz w:val="18"/>
                <w:szCs w:val="18"/>
                <w:color w:val="auto"/>
              </w:rPr>
              <w:t>A.</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Offer and Listing Details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B.</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ind w:left="1000"/>
              <w:spacing w:after="0" w:line="176" w:lineRule="exact"/>
              <w:rPr>
                <w:sz w:val="20"/>
                <w:szCs w:val="20"/>
                <w:color w:val="auto"/>
              </w:rPr>
            </w:pPr>
            <w:r>
              <w:rPr>
                <w:rFonts w:ascii="Times New Roman" w:cs="Times New Roman" w:eastAsia="Times New Roman" w:hAnsi="Times New Roman"/>
                <w:sz w:val="18"/>
                <w:szCs w:val="18"/>
                <w:color w:val="auto"/>
              </w:rPr>
              <w:t>C.</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Markets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D.</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Selling Shareholders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ind w:left="1000"/>
              <w:spacing w:after="0" w:line="176" w:lineRule="exact"/>
              <w:rPr>
                <w:sz w:val="20"/>
                <w:szCs w:val="20"/>
                <w:color w:val="auto"/>
              </w:rPr>
            </w:pPr>
            <w:r>
              <w:rPr>
                <w:rFonts w:ascii="Times New Roman" w:cs="Times New Roman" w:eastAsia="Times New Roman" w:hAnsi="Times New Roman"/>
                <w:sz w:val="18"/>
                <w:szCs w:val="18"/>
                <w:color w:val="auto"/>
              </w:rPr>
              <w:t>E.</w:t>
            </w:r>
          </w:p>
        </w:tc>
        <w:tc>
          <w:tcPr>
            <w:tcW w:w="9340" w:type="dxa"/>
            <w:vAlign w:val="bottom"/>
            <w:gridSpan w:val="41"/>
          </w:tcPr>
          <w:p>
            <w:pPr>
              <w:ind w:left="80"/>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ind w:left="1020"/>
              <w:spacing w:after="0" w:line="176" w:lineRule="exact"/>
              <w:rPr>
                <w:sz w:val="20"/>
                <w:szCs w:val="20"/>
                <w:color w:val="auto"/>
              </w:rPr>
            </w:pPr>
            <w:r>
              <w:rPr>
                <w:rFonts w:ascii="Times New Roman" w:cs="Times New Roman" w:eastAsia="Times New Roman" w:hAnsi="Times New Roman"/>
                <w:sz w:val="18"/>
                <w:szCs w:val="18"/>
                <w:color w:val="auto"/>
              </w:rPr>
              <w:t>F.</w:t>
            </w:r>
          </w:p>
        </w:tc>
        <w:tc>
          <w:tcPr>
            <w:tcW w:w="9340" w:type="dxa"/>
            <w:vAlign w:val="bottom"/>
            <w:gridSpan w:val="4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Expense of the Issue</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Item 10</w:t>
            </w:r>
          </w:p>
        </w:tc>
        <w:tc>
          <w:tcPr>
            <w:tcW w:w="7560" w:type="dxa"/>
            <w:vAlign w:val="bottom"/>
            <w:gridSpan w:val="36"/>
            <w:shd w:val="clear" w:color="auto" w:fill="CCEEFF"/>
          </w:tcPr>
          <w:p>
            <w:pPr>
              <w:ind w:left="80"/>
              <w:spacing w:after="0"/>
              <w:rPr>
                <w:sz w:val="20"/>
                <w:szCs w:val="20"/>
                <w:color w:val="auto"/>
              </w:rPr>
            </w:pPr>
            <w:r>
              <w:rPr>
                <w:rFonts w:ascii="Times New Roman" w:cs="Times New Roman" w:eastAsia="Times New Roman" w:hAnsi="Times New Roman"/>
                <w:sz w:val="18"/>
                <w:szCs w:val="18"/>
                <w:color w:val="0000EE"/>
              </w:rPr>
              <w:t>Additional Information</w:t>
            </w:r>
          </w:p>
        </w:tc>
        <w:tc>
          <w:tcPr>
            <w:tcW w:w="2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tcPr>
          <w:p>
            <w:pPr>
              <w:ind w:left="1000"/>
              <w:spacing w:after="0" w:line="176" w:lineRule="exact"/>
              <w:rPr>
                <w:sz w:val="20"/>
                <w:szCs w:val="20"/>
                <w:color w:val="auto"/>
              </w:rPr>
            </w:pPr>
            <w:r>
              <w:rPr>
                <w:rFonts w:ascii="Times New Roman" w:cs="Times New Roman" w:eastAsia="Times New Roman" w:hAnsi="Times New Roman"/>
                <w:sz w:val="18"/>
                <w:szCs w:val="18"/>
                <w:color w:val="auto"/>
              </w:rPr>
              <w:t>A.</w:t>
            </w:r>
          </w:p>
        </w:tc>
        <w:tc>
          <w:tcPr>
            <w:tcW w:w="7560" w:type="dxa"/>
            <w:vAlign w:val="bottom"/>
            <w:gridSpan w:val="36"/>
          </w:tcPr>
          <w:p>
            <w:pPr>
              <w:ind w:left="80"/>
              <w:spacing w:after="0" w:line="176" w:lineRule="exact"/>
              <w:rPr>
                <w:sz w:val="20"/>
                <w:szCs w:val="20"/>
                <w:color w:val="auto"/>
              </w:rPr>
            </w:pPr>
            <w:r>
              <w:rPr>
                <w:rFonts w:ascii="Times New Roman" w:cs="Times New Roman" w:eastAsia="Times New Roman" w:hAnsi="Times New Roman"/>
                <w:sz w:val="18"/>
                <w:szCs w:val="18"/>
                <w:color w:val="0000EE"/>
              </w:rPr>
              <w:t>Share Capital</w:t>
            </w:r>
          </w:p>
        </w:tc>
        <w:tc>
          <w:tcPr>
            <w:tcW w:w="2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76"/>
        </w:trPr>
        <w:tc>
          <w:tcPr>
            <w:tcW w:w="8800" w:type="dxa"/>
            <w:vAlign w:val="bottom"/>
            <w:gridSpan w:val="37"/>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0000EE"/>
              </w:rPr>
              <w:t>Memorandum and Articles of Association</w:t>
            </w:r>
          </w:p>
        </w:tc>
        <w:tc>
          <w:tcPr>
            <w:tcW w:w="244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tcPr>
          <w:p>
            <w:pPr>
              <w:ind w:left="1000"/>
              <w:spacing w:after="0" w:line="176" w:lineRule="exact"/>
              <w:rPr>
                <w:sz w:val="20"/>
                <w:szCs w:val="20"/>
                <w:color w:val="auto"/>
              </w:rPr>
            </w:pPr>
            <w:r>
              <w:rPr>
                <w:rFonts w:ascii="Times New Roman" w:cs="Times New Roman" w:eastAsia="Times New Roman" w:hAnsi="Times New Roman"/>
                <w:sz w:val="18"/>
                <w:szCs w:val="18"/>
                <w:color w:val="auto"/>
              </w:rPr>
              <w:t>C.</w:t>
            </w:r>
          </w:p>
        </w:tc>
        <w:tc>
          <w:tcPr>
            <w:tcW w:w="7560" w:type="dxa"/>
            <w:vAlign w:val="bottom"/>
            <w:gridSpan w:val="36"/>
          </w:tcPr>
          <w:p>
            <w:pPr>
              <w:ind w:left="80"/>
              <w:spacing w:after="0" w:line="176" w:lineRule="exact"/>
              <w:rPr>
                <w:sz w:val="20"/>
                <w:szCs w:val="20"/>
                <w:color w:val="auto"/>
              </w:rPr>
            </w:pPr>
            <w:r>
              <w:rPr>
                <w:rFonts w:ascii="Times New Roman" w:cs="Times New Roman" w:eastAsia="Times New Roman" w:hAnsi="Times New Roman"/>
                <w:sz w:val="18"/>
                <w:szCs w:val="18"/>
                <w:color w:val="0000EE"/>
              </w:rPr>
              <w:t>Material Contracts</w:t>
            </w:r>
          </w:p>
        </w:tc>
        <w:tc>
          <w:tcPr>
            <w:tcW w:w="2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D.</w:t>
            </w:r>
          </w:p>
        </w:tc>
        <w:tc>
          <w:tcPr>
            <w:tcW w:w="7560" w:type="dxa"/>
            <w:vAlign w:val="bottom"/>
            <w:gridSpan w:val="3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Exchange Controls</w:t>
            </w:r>
          </w:p>
        </w:tc>
        <w:tc>
          <w:tcPr>
            <w:tcW w:w="244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51</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ind w:left="1000"/>
              <w:spacing w:after="0" w:line="176" w:lineRule="exact"/>
              <w:rPr>
                <w:sz w:val="20"/>
                <w:szCs w:val="20"/>
                <w:color w:val="auto"/>
              </w:rPr>
            </w:pPr>
            <w:r>
              <w:rPr>
                <w:rFonts w:ascii="Times New Roman" w:cs="Times New Roman" w:eastAsia="Times New Roman" w:hAnsi="Times New Roman"/>
                <w:sz w:val="18"/>
                <w:szCs w:val="18"/>
                <w:color w:val="auto"/>
              </w:rPr>
              <w:t>E.</w:t>
            </w:r>
          </w:p>
        </w:tc>
        <w:tc>
          <w:tcPr>
            <w:tcW w:w="7560" w:type="dxa"/>
            <w:vAlign w:val="bottom"/>
            <w:gridSpan w:val="36"/>
          </w:tcPr>
          <w:p>
            <w:pPr>
              <w:ind w:left="80"/>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2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52</w:t>
            </w:r>
          </w:p>
        </w:tc>
      </w:tr>
      <w:tr>
        <w:trPr>
          <w:trHeight w:val="21"/>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ind w:left="1020"/>
              <w:spacing w:after="0" w:line="176" w:lineRule="exact"/>
              <w:rPr>
                <w:sz w:val="20"/>
                <w:szCs w:val="20"/>
                <w:color w:val="auto"/>
              </w:rPr>
            </w:pPr>
            <w:r>
              <w:rPr>
                <w:rFonts w:ascii="Times New Roman" w:cs="Times New Roman" w:eastAsia="Times New Roman" w:hAnsi="Times New Roman"/>
                <w:sz w:val="18"/>
                <w:szCs w:val="18"/>
                <w:color w:val="auto"/>
              </w:rPr>
              <w:t>F.</w:t>
            </w:r>
          </w:p>
        </w:tc>
        <w:tc>
          <w:tcPr>
            <w:tcW w:w="7560" w:type="dxa"/>
            <w:vAlign w:val="bottom"/>
            <w:gridSpan w:val="3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Dividends and Paying Agents</w:t>
            </w:r>
          </w:p>
        </w:tc>
        <w:tc>
          <w:tcPr>
            <w:tcW w:w="244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56</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tcPr>
          <w:p>
            <w:pPr>
              <w:ind w:left="1000"/>
              <w:spacing w:after="0" w:line="176" w:lineRule="exact"/>
              <w:rPr>
                <w:sz w:val="20"/>
                <w:szCs w:val="20"/>
                <w:color w:val="auto"/>
              </w:rPr>
            </w:pPr>
            <w:r>
              <w:rPr>
                <w:rFonts w:ascii="Times New Roman" w:cs="Times New Roman" w:eastAsia="Times New Roman" w:hAnsi="Times New Roman"/>
                <w:sz w:val="18"/>
                <w:szCs w:val="18"/>
                <w:color w:val="auto"/>
              </w:rPr>
              <w:t>G.</w:t>
            </w:r>
          </w:p>
        </w:tc>
        <w:tc>
          <w:tcPr>
            <w:tcW w:w="7560" w:type="dxa"/>
            <w:vAlign w:val="bottom"/>
            <w:gridSpan w:val="36"/>
          </w:tcPr>
          <w:p>
            <w:pPr>
              <w:ind w:left="80"/>
              <w:spacing w:after="0" w:line="176" w:lineRule="exact"/>
              <w:rPr>
                <w:sz w:val="20"/>
                <w:szCs w:val="20"/>
                <w:color w:val="auto"/>
              </w:rPr>
            </w:pPr>
            <w:r>
              <w:rPr>
                <w:rFonts w:ascii="Times New Roman" w:cs="Times New Roman" w:eastAsia="Times New Roman" w:hAnsi="Times New Roman"/>
                <w:sz w:val="18"/>
                <w:szCs w:val="18"/>
                <w:color w:val="0000EE"/>
              </w:rPr>
              <w:t>Statement by Experts</w:t>
            </w:r>
          </w:p>
        </w:tc>
        <w:tc>
          <w:tcPr>
            <w:tcW w:w="2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H.</w:t>
            </w:r>
          </w:p>
        </w:tc>
        <w:tc>
          <w:tcPr>
            <w:tcW w:w="7560" w:type="dxa"/>
            <w:vAlign w:val="bottom"/>
            <w:gridSpan w:val="3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Documents on Display</w:t>
            </w:r>
          </w:p>
        </w:tc>
        <w:tc>
          <w:tcPr>
            <w:tcW w:w="244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40" w:type="dxa"/>
            <w:vAlign w:val="bottom"/>
          </w:tcPr>
          <w:p>
            <w:pPr>
              <w:ind w:left="1060"/>
              <w:spacing w:after="0" w:line="176" w:lineRule="exact"/>
              <w:rPr>
                <w:sz w:val="20"/>
                <w:szCs w:val="20"/>
                <w:color w:val="auto"/>
              </w:rPr>
            </w:pPr>
            <w:r>
              <w:rPr>
                <w:rFonts w:ascii="Times New Roman" w:cs="Times New Roman" w:eastAsia="Times New Roman" w:hAnsi="Times New Roman"/>
                <w:sz w:val="18"/>
                <w:szCs w:val="18"/>
                <w:color w:val="auto"/>
              </w:rPr>
              <w:t>I.</w:t>
            </w:r>
          </w:p>
        </w:tc>
        <w:tc>
          <w:tcPr>
            <w:tcW w:w="7560" w:type="dxa"/>
            <w:vAlign w:val="bottom"/>
            <w:gridSpan w:val="36"/>
          </w:tcPr>
          <w:p>
            <w:pPr>
              <w:ind w:left="80"/>
              <w:spacing w:after="0" w:line="176" w:lineRule="exact"/>
              <w:rPr>
                <w:sz w:val="20"/>
                <w:szCs w:val="20"/>
                <w:color w:val="auto"/>
              </w:rPr>
            </w:pPr>
            <w:r>
              <w:rPr>
                <w:rFonts w:ascii="Times New Roman" w:cs="Times New Roman" w:eastAsia="Times New Roman" w:hAnsi="Times New Roman"/>
                <w:sz w:val="18"/>
                <w:szCs w:val="18"/>
                <w:color w:val="0000EE"/>
              </w:rPr>
              <w:t>Subsidiary Information</w:t>
            </w:r>
          </w:p>
        </w:tc>
        <w:tc>
          <w:tcPr>
            <w:tcW w:w="2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57</w:t>
            </w:r>
          </w:p>
        </w:tc>
      </w:tr>
      <w:tr>
        <w:trPr>
          <w:trHeight w:val="21"/>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7560" w:type="dxa"/>
            <w:vAlign w:val="bottom"/>
            <w:gridSpan w:val="36"/>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Risks</w:t>
            </w:r>
          </w:p>
        </w:tc>
        <w:tc>
          <w:tcPr>
            <w:tcW w:w="244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57</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7560" w:type="dxa"/>
            <w:vAlign w:val="bottom"/>
            <w:gridSpan w:val="36"/>
          </w:tcPr>
          <w:p>
            <w:pPr>
              <w:ind w:left="80"/>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2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58</w:t>
            </w:r>
          </w:p>
        </w:tc>
      </w:tr>
      <w:tr>
        <w:trPr>
          <w:trHeight w:val="21"/>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76"/>
        </w:trPr>
        <w:tc>
          <w:tcPr>
            <w:tcW w:w="8800" w:type="dxa"/>
            <w:vAlign w:val="bottom"/>
            <w:gridSpan w:val="37"/>
            <w:shd w:val="clear" w:color="auto" w:fill="CCEEFF"/>
          </w:tcPr>
          <w:p>
            <w:pPr>
              <w:ind w:left="1020"/>
              <w:spacing w:after="0" w:line="176" w:lineRule="exact"/>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0000EE"/>
              </w:rPr>
              <w:t>Debt Securities</w:t>
            </w:r>
          </w:p>
        </w:tc>
        <w:tc>
          <w:tcPr>
            <w:tcW w:w="244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0" w:type="dxa"/>
            <w:vAlign w:val="bottom"/>
            <w:gridSpan w:val="37"/>
          </w:tcPr>
          <w:p>
            <w:pPr>
              <w:ind w:left="1020"/>
              <w:spacing w:after="0" w:line="176" w:lineRule="exact"/>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0000EE"/>
              </w:rPr>
              <w:t>Warrants and Rights</w:t>
            </w:r>
          </w:p>
        </w:tc>
        <w:tc>
          <w:tcPr>
            <w:tcW w:w="2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76"/>
        </w:trPr>
        <w:tc>
          <w:tcPr>
            <w:tcW w:w="8800" w:type="dxa"/>
            <w:vAlign w:val="bottom"/>
            <w:gridSpan w:val="37"/>
            <w:shd w:val="clear" w:color="auto" w:fill="CCEEFF"/>
          </w:tcPr>
          <w:p>
            <w:pPr>
              <w:ind w:left="1020"/>
              <w:spacing w:after="0" w:line="176" w:lineRule="exact"/>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color w:val="0000EE"/>
              </w:rPr>
              <w:t>Other Securities</w:t>
            </w:r>
          </w:p>
        </w:tc>
        <w:tc>
          <w:tcPr>
            <w:tcW w:w="244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0" w:type="dxa"/>
            <w:vAlign w:val="bottom"/>
            <w:gridSpan w:val="37"/>
          </w:tcPr>
          <w:p>
            <w:pPr>
              <w:ind w:left="1020"/>
              <w:spacing w:after="0" w:line="176" w:lineRule="exact"/>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color w:val="0000EE"/>
              </w:rPr>
              <w:t>American Depositary Shares</w:t>
            </w:r>
          </w:p>
        </w:tc>
        <w:tc>
          <w:tcPr>
            <w:tcW w:w="2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58</w:t>
            </w:r>
          </w:p>
        </w:tc>
      </w:tr>
      <w:tr>
        <w:trPr>
          <w:trHeight w:val="21"/>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175"/>
        </w:trPr>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20" w:type="dxa"/>
            <w:vAlign w:val="bottom"/>
            <w:gridSpan w:val="8"/>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2440" w:type="dxa"/>
            <w:vAlign w:val="bottom"/>
          </w:tcPr>
          <w:p>
            <w:pPr>
              <w:spacing w:after="0"/>
              <w:rPr>
                <w:sz w:val="15"/>
                <w:szCs w:val="15"/>
                <w:color w:val="auto"/>
              </w:rPr>
            </w:pPr>
          </w:p>
        </w:tc>
      </w:tr>
      <w:tr>
        <w:trPr>
          <w:trHeight w:val="21"/>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176"/>
        </w:trPr>
        <w:tc>
          <w:tcPr>
            <w:tcW w:w="12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756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2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12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2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756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Material Modification to the Rights of Security Holders and Use of Proceeds</w:t>
            </w:r>
          </w:p>
        </w:tc>
        <w:tc>
          <w:tcPr>
            <w:tcW w:w="244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59</w:t>
            </w:r>
          </w:p>
        </w:tc>
      </w:tr>
      <w:tr>
        <w:trPr>
          <w:trHeight w:val="175"/>
        </w:trPr>
        <w:tc>
          <w:tcPr>
            <w:tcW w:w="1240" w:type="dxa"/>
            <w:vAlign w:val="bottom"/>
            <w:tcBorders>
              <w:top w:val="single" w:sz="8" w:color="CCEEFF"/>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5540" w:type="dxa"/>
            <w:vAlign w:val="bottom"/>
            <w:tcBorders>
              <w:top w:val="single" w:sz="8" w:color="0000EE"/>
            </w:tcBorders>
            <w:gridSpan w:val="35"/>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2020" w:type="dxa"/>
            <w:vAlign w:val="bottom"/>
            <w:tcBorders>
              <w:top w:val="single" w:sz="8" w:color="CCEEFF"/>
            </w:tcBorders>
          </w:tcPr>
          <w:p>
            <w:pPr>
              <w:spacing w:after="0"/>
              <w:rPr>
                <w:sz w:val="15"/>
                <w:szCs w:val="15"/>
                <w:color w:val="auto"/>
              </w:rPr>
            </w:pPr>
          </w:p>
        </w:tc>
        <w:tc>
          <w:tcPr>
            <w:tcW w:w="2440" w:type="dxa"/>
            <w:vAlign w:val="bottom"/>
            <w:tcBorders>
              <w:top w:val="single" w:sz="8" w:color="CCEEFF"/>
            </w:tcBorders>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59</w:t>
            </w:r>
          </w:p>
        </w:tc>
      </w:tr>
      <w:tr>
        <w:trPr>
          <w:trHeight w:val="21"/>
        </w:trPr>
        <w:tc>
          <w:tcPr>
            <w:tcW w:w="12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680" w:type="dxa"/>
            <w:vAlign w:val="bottom"/>
            <w:tcBorders>
              <w:bottom w:val="single" w:sz="8" w:color="0000EE"/>
            </w:tcBorders>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5"/>
              </w:rPr>
              <w:t>Reserved</w:t>
            </w:r>
          </w:p>
        </w:tc>
        <w:tc>
          <w:tcPr>
            <w:tcW w:w="6880" w:type="dxa"/>
            <w:vAlign w:val="bottom"/>
            <w:tcBorders>
              <w:bottom w:val="single" w:sz="8" w:color="CCEEFF"/>
            </w:tcBorders>
            <w:gridSpan w:val="33"/>
            <w:shd w:val="clear" w:color="auto" w:fill="CCEEFF"/>
          </w:tcPr>
          <w:p>
            <w:pPr>
              <w:spacing w:after="0"/>
              <w:rPr>
                <w:sz w:val="17"/>
                <w:szCs w:val="17"/>
                <w:color w:val="auto"/>
              </w:rPr>
            </w:pPr>
          </w:p>
        </w:tc>
        <w:tc>
          <w:tcPr>
            <w:tcW w:w="244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60</w:t>
            </w:r>
          </w:p>
        </w:tc>
      </w:tr>
      <w:tr>
        <w:trPr>
          <w:trHeight w:val="175"/>
        </w:trPr>
        <w:tc>
          <w:tcPr>
            <w:tcW w:w="12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16A</w:t>
            </w:r>
          </w:p>
        </w:tc>
        <w:tc>
          <w:tcPr>
            <w:tcW w:w="756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2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60</w:t>
            </w:r>
          </w:p>
        </w:tc>
      </w:tr>
      <w:tr>
        <w:trPr>
          <w:trHeight w:val="21"/>
        </w:trPr>
        <w:tc>
          <w:tcPr>
            <w:tcW w:w="12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16B</w:t>
            </w:r>
          </w:p>
        </w:tc>
        <w:tc>
          <w:tcPr>
            <w:tcW w:w="1080" w:type="dxa"/>
            <w:vAlign w:val="bottom"/>
            <w:tcBorders>
              <w:bottom w:val="single" w:sz="8" w:color="0000EE"/>
            </w:tcBorders>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7"/>
              </w:rPr>
              <w:t>Code of Ethics</w:t>
            </w:r>
          </w:p>
        </w:tc>
        <w:tc>
          <w:tcPr>
            <w:tcW w:w="6480" w:type="dxa"/>
            <w:vAlign w:val="bottom"/>
            <w:tcBorders>
              <w:bottom w:val="single" w:sz="8" w:color="CCEEFF"/>
            </w:tcBorders>
            <w:gridSpan w:val="29"/>
            <w:shd w:val="clear" w:color="auto" w:fill="CCEEFF"/>
          </w:tcPr>
          <w:p>
            <w:pPr>
              <w:spacing w:after="0"/>
              <w:rPr>
                <w:sz w:val="17"/>
                <w:szCs w:val="17"/>
                <w:color w:val="auto"/>
              </w:rPr>
            </w:pPr>
          </w:p>
        </w:tc>
        <w:tc>
          <w:tcPr>
            <w:tcW w:w="244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60</w:t>
            </w:r>
          </w:p>
        </w:tc>
      </w:tr>
      <w:tr>
        <w:trPr>
          <w:trHeight w:val="176"/>
        </w:trPr>
        <w:tc>
          <w:tcPr>
            <w:tcW w:w="12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16C</w:t>
            </w:r>
          </w:p>
        </w:tc>
        <w:tc>
          <w:tcPr>
            <w:tcW w:w="756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2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12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16D</w:t>
            </w:r>
          </w:p>
        </w:tc>
        <w:tc>
          <w:tcPr>
            <w:tcW w:w="756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244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16E</w:t>
            </w:r>
          </w:p>
        </w:tc>
        <w:tc>
          <w:tcPr>
            <w:tcW w:w="756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2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61</w:t>
            </w:r>
          </w:p>
        </w:tc>
      </w:tr>
      <w:tr>
        <w:trPr>
          <w:trHeight w:val="21"/>
        </w:trPr>
        <w:tc>
          <w:tcPr>
            <w:tcW w:w="12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16F</w:t>
            </w:r>
          </w:p>
        </w:tc>
        <w:tc>
          <w:tcPr>
            <w:tcW w:w="3380" w:type="dxa"/>
            <w:vAlign w:val="bottom"/>
            <w:tcBorders>
              <w:bottom w:val="single" w:sz="8" w:color="0000EE"/>
            </w:tcBorders>
            <w:gridSpan w:val="2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Changes in Registrant’s Certifying Accountant</w:t>
            </w:r>
          </w:p>
        </w:tc>
        <w:tc>
          <w:tcPr>
            <w:tcW w:w="4180" w:type="dxa"/>
            <w:vAlign w:val="bottom"/>
            <w:tcBorders>
              <w:bottom w:val="single" w:sz="8" w:color="CCEEFF"/>
            </w:tcBorders>
            <w:gridSpan w:val="11"/>
            <w:shd w:val="clear" w:color="auto" w:fill="CCEEFF"/>
          </w:tcPr>
          <w:p>
            <w:pPr>
              <w:spacing w:after="0"/>
              <w:rPr>
                <w:sz w:val="17"/>
                <w:szCs w:val="17"/>
                <w:color w:val="auto"/>
              </w:rPr>
            </w:pPr>
          </w:p>
        </w:tc>
        <w:tc>
          <w:tcPr>
            <w:tcW w:w="244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61</w:t>
            </w:r>
          </w:p>
        </w:tc>
      </w:tr>
      <w:tr>
        <w:trPr>
          <w:trHeight w:val="175"/>
        </w:trPr>
        <w:tc>
          <w:tcPr>
            <w:tcW w:w="12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16G</w:t>
            </w:r>
          </w:p>
        </w:tc>
        <w:tc>
          <w:tcPr>
            <w:tcW w:w="756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2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12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75"/>
        </w:trPr>
        <w:tc>
          <w:tcPr>
            <w:tcW w:w="12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16H</w:t>
            </w:r>
          </w:p>
        </w:tc>
        <w:tc>
          <w:tcPr>
            <w:tcW w:w="7560" w:type="dxa"/>
            <w:vAlign w:val="bottom"/>
            <w:gridSpan w:val="3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2440" w:type="dxa"/>
            <w:vAlign w:val="bottom"/>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62</w:t>
            </w: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2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16I</w:t>
            </w:r>
          </w:p>
        </w:tc>
        <w:tc>
          <w:tcPr>
            <w:tcW w:w="756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Disclosures Regarding Foreign Jurisdictions That Prevent Inspections</w:t>
            </w:r>
          </w:p>
        </w:tc>
        <w:tc>
          <w:tcPr>
            <w:tcW w:w="2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12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16J</w:t>
            </w:r>
          </w:p>
        </w:tc>
        <w:tc>
          <w:tcPr>
            <w:tcW w:w="1740" w:type="dxa"/>
            <w:vAlign w:val="bottom"/>
            <w:tcBorders>
              <w:bottom w:val="single" w:sz="8" w:color="0000EE"/>
            </w:tcBorders>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Insider Trading Policies</w:t>
            </w:r>
          </w:p>
        </w:tc>
        <w:tc>
          <w:tcPr>
            <w:tcW w:w="5820" w:type="dxa"/>
            <w:vAlign w:val="bottom"/>
            <w:tcBorders>
              <w:bottom w:val="single" w:sz="8" w:color="CCEEFF"/>
            </w:tcBorders>
            <w:gridSpan w:val="18"/>
            <w:shd w:val="clear" w:color="auto" w:fill="CCEEFF"/>
          </w:tcPr>
          <w:p>
            <w:pPr>
              <w:spacing w:after="0"/>
              <w:rPr>
                <w:sz w:val="17"/>
                <w:szCs w:val="17"/>
                <w:color w:val="auto"/>
              </w:rPr>
            </w:pPr>
          </w:p>
        </w:tc>
        <w:tc>
          <w:tcPr>
            <w:tcW w:w="244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62</w:t>
            </w:r>
          </w:p>
        </w:tc>
      </w:tr>
      <w:tr>
        <w:trPr>
          <w:trHeight w:val="176"/>
        </w:trPr>
        <w:tc>
          <w:tcPr>
            <w:tcW w:w="12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16K</w:t>
            </w:r>
          </w:p>
        </w:tc>
        <w:tc>
          <w:tcPr>
            <w:tcW w:w="756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2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12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175"/>
        </w:trPr>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244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175"/>
        </w:trPr>
        <w:tc>
          <w:tcPr>
            <w:tcW w:w="12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17</w:t>
            </w:r>
          </w:p>
        </w:tc>
        <w:tc>
          <w:tcPr>
            <w:tcW w:w="756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2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12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124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18</w:t>
            </w:r>
          </w:p>
        </w:tc>
        <w:tc>
          <w:tcPr>
            <w:tcW w:w="1520" w:type="dxa"/>
            <w:vAlign w:val="bottom"/>
            <w:tcBorders>
              <w:bottom w:val="single" w:sz="8" w:color="0000EE"/>
            </w:tcBorders>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6040" w:type="dxa"/>
            <w:vAlign w:val="bottom"/>
            <w:tcBorders>
              <w:bottom w:val="single" w:sz="8" w:color="CCEEFF"/>
            </w:tcBorders>
            <w:gridSpan w:val="24"/>
            <w:shd w:val="clear" w:color="auto" w:fill="CCEEFF"/>
          </w:tcPr>
          <w:p>
            <w:pPr>
              <w:spacing w:after="0"/>
              <w:rPr>
                <w:sz w:val="17"/>
                <w:szCs w:val="17"/>
                <w:color w:val="auto"/>
              </w:rPr>
            </w:pPr>
          </w:p>
        </w:tc>
        <w:tc>
          <w:tcPr>
            <w:tcW w:w="244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63</w:t>
            </w:r>
          </w:p>
        </w:tc>
      </w:tr>
      <w:tr>
        <w:trPr>
          <w:trHeight w:val="175"/>
        </w:trPr>
        <w:tc>
          <w:tcPr>
            <w:tcW w:w="12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Item 19</w:t>
            </w:r>
          </w:p>
        </w:tc>
        <w:tc>
          <w:tcPr>
            <w:tcW w:w="7560" w:type="dxa"/>
            <w:vAlign w:val="bottom"/>
            <w:gridSpan w:val="36"/>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24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1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used herein, references to “we”, “us”, “Davion Healthcare Plc” or the “Group” in this Annual Report on Form 20-F (the “Annual Report”) shall mean Davion Healthcare Plc and its subsidiaries. References to the “Company” in this Annual Report shall mean Davion Healthcare Plc, the parent Company and its consolidated subsidiaries. Our consolidated financial statements appearing in this Annual Report are prepared in accordance with International Financial Reporting Standards (“IFRS”) both as issued by the International Accounting Standards Board (“IASB”) and as adopted by the European Union (“EU”). The IFRS standards applied are those effective for accounting periods beginning January 1, 2025. Consolidated financial statements are required by Irish law to comply with IFRS as adopted by the EU which differ in certain respects from IFRS as issued by the IASB. These differences predominantly relate to the timing of adoption of new standards by the EU. However, as none of the differences are relevant in the context of Davion Healthcare Plc, the consolidated financial statements for the periods presented comply with IFRS both as issued by the IASB and as adopted by the EU. We present our consolidated financial statements in Euro, except as otherwise stated. All references in this Annual Report to “Euro” or “€” are to European Union Euro and all references to “Dollars” and “$” are to US Dollars.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concerning our industry and the markets in which we operate, including our competitive position and market opportunity,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Our management estimates have not been verified by any independent source, and we have not independently verified any third-party information. In addition, assumptions and estimates of our and our industry’s future performance are necessarily subject to a high degree of uncertainty and risk due to a variety of factors, including those described in Item 3.D. “</w:t>
      </w:r>
      <w:r>
        <w:rPr>
          <w:rFonts w:ascii="Times New Roman" w:cs="Times New Roman" w:eastAsia="Times New Roman" w:hAnsi="Times New Roman"/>
          <w:sz w:val="18"/>
          <w:szCs w:val="18"/>
          <w:i w:val="1"/>
          <w:iCs w:val="1"/>
          <w:u w:val="single" w:color="auto"/>
          <w:color w:val="0000EE"/>
        </w:rPr>
        <w:t>Risk Factors</w:t>
      </w:r>
      <w:r>
        <w:rPr>
          <w:rFonts w:ascii="Times New Roman" w:cs="Times New Roman" w:eastAsia="Times New Roman" w:hAnsi="Times New Roman"/>
          <w:sz w:val="18"/>
          <w:szCs w:val="18"/>
          <w:color w:val="auto"/>
        </w:rPr>
        <w:t>” below.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made in this Annual Report concerning the contents of any contract, agreement or other document are summaries of such contracts, agreements or documents and are not complete descriptions of all of their terms. If we filed any of these documents as an exhibit to this Annual Report, Readers are encouraged to review the complete document for a complete description of its terms, and the summary included herein is qualified by reference to the full text of the document which is incorporated by reference into this Annual Report.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Annual Report contains statements that constitute “forward-looking statements” within the meaning of the U.S. Private Securities Litigation Reform Act of 1995. These statements are neither historical facts nor assurances of future performance. Although we believe that these estimates and forward-looking statements are based upon reasonable assumptions, they are subject to numerous risks and uncertainties some of which are beyond our control and are made in light of information currently available to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may be identified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8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goals and strategies;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expected growth of our product sales or revenues generated from our licensee;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expectations regarding our relationships with licensees, contract manufacturers, component suppliers, third-party service providers, strategic partners and other stakeholders;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competition in our industry;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Business</w:t>
      </w:r>
      <w:r>
        <w:rPr>
          <w:rFonts w:ascii="Times New Roman" w:cs="Times New Roman" w:eastAsia="Times New Roman" w:hAnsi="Times New Roman"/>
          <w:sz w:val="18"/>
          <w:szCs w:val="18"/>
          <w:color w:val="auto"/>
        </w:rPr>
        <w:t>” and other sections in this Annual Report. Investors should read thoroughly this Annual Report and the documents that we refer to with the understanding that our actual future results may be materially different from and worse than what we expect. We qualify all of our forward-looking statements by these cautionary statements.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contains certain data and information that we obtained from various government and private publications. Statistical data in these publications also include projections based on a number of assumptions. The industry and demand for our products may not grow at the rate projected by market data, or at all. Failure of this market to grow at the projected rate may have a material and adverse effect on our business and the market price of our Ordinary Shares. In addition, the rapidly evolving nature of the Class I medical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Investors should not place undue reliance on these forward-looking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Investors should read this Annual Report and the documents that we have filed as exhibits hereto completely and with the understanding that our actual future results or performance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right"/>
        <w:ind w:right="42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Identity of Directors, Senior Management and Advisers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Offer Statistics and Expected Timetable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Key Information</w:t>
      </w:r>
    </w:p>
    <w:p>
      <w:pPr>
        <w:spacing w:after="0" w:line="22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dependence on licensees exposes us to significant operational, financial, regulatory, and reputational risks.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license and warranty model relies on third parties to execute critical commercial and customer-facing functions, and any failure by a partner may materially impact our business. Our commercial strategy is based on granting regional or global licenses and delegating to these licensees substantial responsibility for manufacturing, marketing, distribution, sales support, customer service, and honoring product warranties. Because we do not directly control these activities, our business performance is dependent on their operational capabilities, financial strength, and strategic motivation. If a licensee does not perform effectively, our revenues, brand reputation, and regulatory compliance could suffer.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or regional licensee underperformance or default could abruptly restrict our market access and revenue streams.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many cases, we may depend on a single licensee in a territory or even globally. Should that licensee experience financial distress, bankruptcy, management changes, loss of regulatory approval, or simply choose to withdraw from the market, we may have no immediate alternative route to market. Replacing such partners may take significant time due to regulatory approvals, onboarding, supply chain reconfiguration, and renegotiation of commercial arrangements. These delays could materially harm our ability to stabilize revenue and maintain market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exposure increases when licensees are responsible for warranty obligations and after-sales service.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Customers of our products will typically seek recourse from the licensee that sold or manufactured the product. If a licensee fails to properly administer warranty claims, provide replacement products, or deliver adequate post-sales support, consumer satisfaction may decline. Any lack of support perceived by customers can damage our brand and result in claims or complaints directed at us, even if the licensee is contractually responsible. Additionally, if a licensee becomes unable or unwilling to fulfill warranty obligations, we may be required to assume those liabilities ourselves, which could increase our costs and reduce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When a partner controls manufacturing, disruptions in their operations can directly translate to lost product availability.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licensees may rely on third-party component suppliers, logistics providers, and distributors. Instability anywhere in their supply chain could lead to stock shortages, inconsistent product quality, or delays in launch timelines. We may not be able to mitigate these impacts quickly, especially where tooling, technical know-how, or regulatory registration is tied to that licensee.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licensee arrangement structures increase key-partner concentration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we grant exclusive licenses across large geographic territories or product categories, the dependency risk intensifies. If that exclusive partner fails to meet commercial milestones, restricts product availability, or deprioritizes our product line in favor of competing offerings, we may be left with no practical alternative for commercializing our technology in that region for the duration of the exclusivity term.</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forced to assume direct responsibility for manufacturing, sales, distribution, or warranty services if a licensee fails to perform, which could require substantial time and resources and may not be successful.</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licensee does not meet its obligations or withdraws from a market, or if market conditions change and we determine that continued reliance on third parties is no longer viable or commercially advantageous, we may need to transition one or more of our products to direct commercialization. This may include assuming responsibility for manufacturing, supply chain, sales force development, regulatory compliance, customer support, or warranty administration. We have limited internal experience, infrastructure, and personnel to carry out these functions at scale. Any such transition could result in significant additional cost, production delays, loss of market share, adverse regulatory findings, or reputational harm. There is no assurance that we would be able to successfully implement direct commercialization or achieve the level of market penetration, pricing, or performance that we currently expect licensees to deliver.</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experience cost increases or disruptions in the supply of raw materials, such as liquid crystal and/or thermochromic inks and films used in BreastCheck.</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BreastCheck is to be manufactured and distributed under license by NeuRX Health Inc., a U.S. registered company. NeuRX Health may incur significant costs in procuring the raw materials required to manufacture and assemble BreastCheck. Manufacturing of BreastCheck specifically for the North American market will take place in the USA, with all product components supplied by U.S. based providers to our licensed manufacturer NeuRX Health Inc. The prices of these materials fluctuate due to factors beyond the control of our licensee, including market conditions, global demand, currency fluctuations, tariffs, fuel shortages, and political or economic instability. Substantial increases in these costs could raise manufacturing and distribution expenses and reduce our royalty margins.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licensed manufacturers are dependent on their suppliers.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BreastCheck uses multiple parts sourced from numerous suppliers, some of which are limited or single-source. Any disruption in supply could temporarily halt production until alternative sources are qualified, which may not be achievable on acceptable terms or within a reasonable timeframe. Events such as supplier business failures, force majeure, regulatory changes, or other unforeseen factors could materially and adversely impact royalty revenues we expect to receive from NeuRX Health.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prospects depend significantly on our ability to build and maintain the BreastCheck brand.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growth relies heavily on consumer awareness and acceptance of BreastCheck. We intend to pursue branding initiatives, including digital community engagement and ongoing awareness campaigns by our distributor. These efforts may not succeed and could require more costly traditional advertising channels. Negative publicity, unfavorable product reviews, or adverse social media commentary could harm consumer confidence and materially impact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initially dependent on a limited number of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our first year of commercialization, we expect to generate revenues primarily from BreastCheck and FootFlow. If we encounter delays in manufacturing, regulatory issues, adverse publicity, or lack of market acceptance of either product, our financial results could be materially and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2025 financial results are not indicative of our expected future operating cost structure. We will incur increased costs as a result of becoming a public Company.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our executive officers and directors have waived their right to their annual remuneration of €3.6 million, until such time that the Company is listed on Nasdaq and the Company has raised $5 million in capital. As such, our 2025 financial results are artificially low and are not indicative of our future on-going cost structure once the Company is listed. Additionally, compliance with SEC and Nasdaq requirements and higher costs to operate as a public Company will increase our expenses for legal, accounting, compliance, insurance, director and executive officer costs, stock compensation costs, amongst others.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authorities may reclassify our products, which could increase costs and delay commercialization.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are registered or eligible for registration as Class I medical devices. Regulators retain the discretion to reclassify devices into higher categories that require additional testing, data, or approvals. If any of our products were reclassified, we could incur significant costs, delays, or be unable to commercialize those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are not diagnostic tests and may be misunderstood by consumers or healthcare professionals.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products are designed to provide early warning indicators and are not diagnostic. Consumers may misinterpret the results, fail to seek further medical evaluation, or rely on the tests as substitutes for clinical diagnosis. Misuse or misunderstanding of our products could result in adverse outcomes for consumers, reputational damage, and potential liability claims against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with no commercial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have completed development and achieved regulatory registration for certain products, we have not yet launched commercial sales. Investors have limited basis to evaluate our ability to successfully market and sell our products. Our failure to achieve commercial success in the early stages could impair our growth prospects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may be adversely affected if our products are not accepted by consumers and healthcare professionals.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products depends on market acceptance. Factors that may affect acceptance include consumer confidence in the reliability of the tests, recommendations from healthcare providers, pricing, competing products, and regulatory or media scrutiny. Failure to achieve broad acceptance would materially limit our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continuing efforts of our executive officers.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success depends on the continued service of our executive team. If one or more were to leave, we might not be able to replace them in a timely manner. Competition for qualified personnel is intense, and we have not obtained “key person” insurance. If our executives joined a competitor or founded a competing business, we could lose know-how, talent, and customer relationships.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depends on demand for BreastCheck and consumer adoption.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Demand for BreastCheck is influenced by general economic, political, and social conditions, as well as product pricing, regulatory requirements, and consumer health awareness. Volatility in demand may lead to reduced sales, pricing pressure, and adverse effects on our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product liability claims.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BreastCheck is a health-related product, we face the risk of liability claims if it does not perform as expected. Any such claims, whether or not successful, could result in substantial monetary awards, damage to our reputation, negative publicity, and inhibited commercialization. Insurance coverage may be inadequate to cover all potential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not be able to market and sell BreastCheck successfully.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expand our licensing model and product portfolio, we must scale our operations, infrastructure, and personnel. Failure to manage this growth effectively could materially and adversely affect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properly protect and store consumer medical records, we may be subject to significant liability, litigation and reputational harm.</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products involve the generation, collection, and storage of first-party medical records created through test results. These records are classified as highly sensitive personal information, and their handling is subject to strict regulatory frameworks, including data protection and privacy laws in the jurisdictions in which we operate. The requirements of such regulations are complex, may differ across markets, and are continually evolving.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failure by us, or by third parties on whom we rely, to implement and maintain adequate systems to protect this information could result in unauthorized access, data loss, misuse, or cyberattack. A breach of security affecting medical records could expose us to significant liability, governmental investigations, civil penalties, private litigation, and reputational harm. Even the perception that our data security measures are inadequate could have a material adverse effect on our ability to attract and retain customers.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party mobile platforms for our product to work. If we fail to comply with a third party’s platform requirements our product acceptance will be negatively impacted.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mobile applications that operate on Apple iOS and Google Android platforms to allow customers to capture images of their test results using mobile phone cameras and transmit those images to our servers for further analysis. These applications are critical to the customer experience, and any disruption in their availability or performance could materially and adversely affect adoption of our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our mobile applications must comply with the requirements and policies imposed by Apple and Google, we are exposed to risks outside our control. Changes to technical standards, developer policies, or distribution rules could impair the functionality of our applications, delay necessary updates, or prevent continued availability through the Apple App Store or Google Play Store. Additionally, defects, performance failures, or security vulnerabilities in our applications, whether real or perceived, could undermine user confidence, damage our reputation, and expose us to claims of product malfunction.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properly maintain our technology infrastructure and comply with evolving laws on artificial intelligence use in healthcare, our business will be materially and adversely impacted.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performance of our products depends heavily on the reliability of our back-end server infrastructure and the application of artificial intelligence (“AI”) algorithms to analyze customer test results. These systems must operate accurately and consistently in order to produce meaningful outcomes. Failures in server capacity, outages, software errors, cybersecurity incidents, or flaws in our AI-based analysis could result in inaccurate or delayed results. Such outcomes may cause customers to lose confidence in our products and could expose us to regulatory enforcement, liability claims, and reputational damage.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the regulatory environment for AI technologies remains uncertain and continues to evolve. New laws or guidance governing AI use in healthcare, data analysis, or medical devices could increase our compliance costs, impose new operational requirements, or restrict our ability to deploy AI in the manner we currently anticipate. If we are unable to maintain the accuracy, security, and compliance of our back-end infrastructure and AI systems, our business, financial condition, and results of operations could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Sales-and-Licensing Business Model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significantly on third-party licensees for the commercialization of our products, and our success depends on their performance.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model relies on entering into licensing and distribution agreements with third parties for the manufacturing, marketing, and sale of our medical devices. For example, we have entered into a global license agreement with NeuRX to manufacture and distribute our first product, BreastCheck. We do not have, and may never develop, our own large-scale sales force or internal manufacturing facilities. As a result, our financial performance will depend heavily on the efforts and capabilities of our licensees. If these partners do not devote sufficient resources, expertise, or priority to our products, our revenues and market adoption may be materially harmed.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licensees fail to achieve required regulatory approvals or comply with applicable laws, our commercialization efforts may be delayed or prevented.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partners are responsible for regulatory submissions, manufacturing compliance, quality control, adverse event reporting, and ongoing regulatory obligations in various jurisdictions. Any failure by a licensee to obtain necessary regulatory approvals or to maintain ongoing compliance may result in delayed product launches, inability to market products, product recalls, regulatory sanctions, reputational damage, and reduced revenue to us.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control over the sales, pricing, and marketing strategies of our licensees, and mismanagement could adversely impact our brand and revenues.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agreements generally grant partners discretion over commercial strategy, including marketing spend, product promotion, sales coverage, and pricing decisions. If a partner’s strategy is ineffective or inconsistent with our brand positioning or market expectations, product uptake may be hindered, and our reputation and business prospects could suffer.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license agreements may be terminated, and we may not secure alternative licensees in a timely manner, if at 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our agreements include termination rights for non-performance or other commercially customary reasons. If a licensee elects to discontinue a product line, shifts focus to competing priorities, or becomes financially distressed, we may experience significant delays while we seek replacement partners. Such delays could materially impact revenues and market penetration.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licensees may market or develop competing products, reducing their focus on our portfolio.</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Some partners may sell or develop products that compete with ours, which may dilute their commercial commitment. Even where exclusivity applies, licensees may still allocate their resources toward more profitable or strategically important alternatives, impairing our ability to achieve expected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partners fail to meet minimum manufacturing or sales targets, we may not receive anticipated royalties or milestone payments.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rely on contractual minimums that do not guarantee actual performance. Failure to meet sales or production targets could result from inadequate resources, poor regulatory execution, limited market acceptance, supply chain issues, or general economic conditions. We may also be forced to renegotiate terms on less favorable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Disputes with partners could result in costly litigation or arbitration and disrupt commercialization.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Licensing arrangements may give rise to disagreements regarding milestone obligations, royalties, product quality, marketing commitments, and regulatory compliance. Resolving disputes can divert management attention, incur significant legal expenses, damage relationships, and interrupt supply or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third parties creates confidentiality and intellectual property enforcement risks.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must share proprietary information with our licensees. Despite contractual protections, we cannot ensure that partners will maintain confidentiality or refrain from misusing our intellectual property. Infringement or unauthorized use may reduce our competitive advantage and result in costly enforcement 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by our licensees to maintain adequate product quality and supply may harm our reputation and commercial success.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partners to produce devices consistent with regulatory standards and our specifications. Variations in product quality, manufacturing delays, stock shortages, or product recalls attributable to partners could significantly harm the market perception of our technologies and materially reduce revenue.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Government Regulations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U.S. federal and state healthcare privacy and data protection laws, including HIPAA, could result in significant liability and adversely affect our business.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online proprietary test portal collects, transmits, and maintains health-related and personal information from users in the United States. As the licensor and operator of the portal, we are responsible for compliance with applicable U.S. federal and state healthcare privacy and data protection laws, including the Health Insurance Portability and Accountability Act of 1996, as amended (“HIPAA”), and its implementing regulations.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HIPAA and related rules establish extensive privacy, security, and breach-notification obligations for “covered entities” and their “business associates” with respect to protected health information (“PHI”). To the extent our technology or services involve the creation, receipt, maintenance, or transmission of PHI, we may be deemed a business associate and required to implement and maintain robust administrative, technical, and physical safeguards to protect such data. In addition, numerous U.S. states have enacted complementary or more stringent privacy and cybersecurity laws, some of which apply to consumer health information, biometric data, or other personally identifiable information, regardless of HIPAA status. Complying with these overlapping and evolving requirements may require significant resources and continuous updates to our policies, systems, and contractual arrangements with service providers.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failure, or perceived failure, by us or our third-party vendors to comply with HIPAA or applicable state privacy and security requirements could result in investigations, enforcement actions, substantial civil or criminal penalties, and mandatory corrective measures. A data breach or other security incident affecting information collected through our connected devices or portal could expose us to litigation, loss of customer confidence, and reputational harm. Because we are in the early stages of commercialization and rely on digital connectivity for product performance and support, any such event could materially delay our ability to generate revenues, increase our compliance costs, or limit our ability to enter into commercial arrangements.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plan to implement privacy and data-security policies designed to safeguard PHI and other personal data, and plan to conduct periodic risk assessments of our systems and vendors, no security measures are infallible. Cyberattacks, human error, or system vulnerabilities could result in unauthorized access to or loss of data. In addition, evolving interpretations of HIPAA or new state-level privacy laws may impose additional obligations or liabilities on us. Any failure to comply with these requirements could result in regulatory sanctions, financial penalties, or operational disruptions, any of which could materially adversely affect our business, financial position,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by our licensees with U.S. FDA regulations applicable to Class 1 medical devices.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we rely on third-party licensees to manufacture and distribute our Class I medical devices in the United States, any failure by these licensees to comply with U.S. Food and Drug Administration (“FDA”) regulations could expose us to regulatory, commercial, or reputational risks.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test portal and proprietary software platform are used to display, process, and transmit thermal imagery generated by the Company’s products. The Company does not believe that this software requires separate premarket regulatory clearance or approval as a standalone medical device in the United States, European Union, or Middle East, because it does not independently perform diagnostic decision-making or automated clinical interpretation and is used as a supporting visualization and data management tool, however, regulators may in the future determine that certain software functions constitute regulated Software as a Medical Device (SaMD).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license certain of our technologies and product rights to third-party licensees that are responsible for manufacturing, labeling, and distributing the related medical devices in the United States. These products are regulated by the U.S. Food and Drug Administration (“FDA”) as Class I medical devices under the Federal Food, Drug and Cosmetic Act (the “FD&amp;C Act”). Although such devices are generally considered low-risk and are subject primarily to the FDA’s “general controls,” including establishment registration, device listing, labeling, complaint handling, and medical device reporting obligations, our licensees are directly responsible for ensuring compliance with these requirements.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our agreements typically require our licensees to comply with all applicable laws and regulations and to maintain appropriate quality systems, we do not control their day-to-day regulatory, manufacturing, or distribution activities. As a result, we depend on their continued regulatory compliance and cooperation with the FDA. If a licensee fails to comply with applicable FDA requirements—such as quality system regulations, labeling rules, or medical device reporting obligations—the FDA could take enforcement action against the licensee, including warning letters, product seizures, injunctions, or recalls. Even though we are not the registered manufacturer, such actions could adversely affect our brand, restrict product availability, or lead to claims against us as the technology owner or licensor.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FDA may determine that a product manufactured or marketed by a licensee requires a pre-market notification (510(k)) submission or other regulatory clearance. If the licensee is delayed or unable to obtain such clearance, commercialization of the affected product could be delayed or suspended, resulting in reduced royalty income to us. Any material compliance issues by our licensees could therefore disrupt supply, delay revenue, or damage our reputation in the medical community.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seek to mitigate these risks through contractual oversight, reporting requirements, and quality review rights, we cannot assure investors that our licensees will maintain full compliance with all FDA regulations at all times. Any actual or perceived non-compliance by a licensee could result in enforcement action, reputational harm, loss of market access, or financial penalties, any of which could materially adversely affect our business, financial position,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Intellectual Property and 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fully recover the value of our intellectual property portfolio in the future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intellectual property represents a significant portion of our total assets and is recorded at cost based on the consideration exchanged at the time of acquisition. The carrying value does not represent a current market valuation and is dependent on our ability to successfully commercialize our products.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active market for our intellectual property, and its valuation involves significant judgment. We assess our intangible assets for impairment in accordance with applicable accounting standards. However, such assessments involve significant uncertainty, including assumptions regarding future revenues, market conditions, regulatory developments, and the performance of our licensing partners.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execute our commercialisation strategy, or if market conditions differ from our expectations, we may be required to recognise impairment charges in future periods. Any such impairment could be material and could adversely affect our financial condition and results of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recover the value of our intellectual property portfolio is subject to a variety of factors, many beyond our control. We regularly review our long-lived assets, including identifiable intangible assets for impairment. Acquired indefinite life intangible assets are subject to impairment review on a periodic basis and whenever potential impairment indicators are present. The amount of identifiable intangible assets on our consolidated balance sheet as of December 31, 2025, and 2024 was €65.0 million. We determine the recoverability of these assets based on our estimate of value under a value in use model that utilizes discounted cash flow analysis. The inputs to determine these cash flows requires significant judgment regarding future business conditions, consumer demand for our products, pricing for our products to name a few. We may record impairment charges in the future if there are changes in market conditions impacting inputs into our determination of the value in use, a significant reduction in share price or other changes in the future outlook. Future events or decisions may lead to asset impairments and/or related charges. Certain impairment may result from a change in our strategic goals, business direction or other factors relating to the overall business environment. Any significant impairment charges could have a material adverse effect on our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defend against patent or trademark infringement claims.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Competitors or other parties may assert intellectual property rights that interfere with our ability to manufacture or license BreastCheck. If we were found to infringe such rights, we could be required to cease sales, redesign our products, or obtain licenses on unfavorable terms. Litigation, even if not successful, could divert resources and harm our reputation.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our patents, trademarks, and trade secrets critical to our success. However, patents may expire, be invalidated, or provide only limited protection, and enforcement can be costly and uncertain, particularly in foreign jurisdictions. Unauthorized use of our intellectual property could erode our competitive position and harm our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risks associated with strategic alliances or acquisitions.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joint ventures, licensing partnerships, or acquisitions could expose us to risks such as loss of proprietary information, non-performance by partners, integration difficulties, or exposure to unanticipated liabilities. Acquisitions may also require significant capital or equity issuances, resulting in dilution.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Macroeconomic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macroeconomic or geopolitical events could affect our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Global economic uncertainty, including inflation, energy price volatility, geopolitical conflicts, and public health crises, may reduce consumer confidence and impact demand for BreastCheck and other future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Ownership, Taxation and Jurisdiction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Ordinary Shares, Shareholders may not receive any return on investment unless they sell their Ordinary Shares for a price greater than that which they paid for them.</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commercialization and growth of our business, and therefore we do not anticipate declaring or paying any cash dividends on our Ordinary Shares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Our future ability to pay cash dividends on our Ordinary Shares may also be limited by the terms of any future debt securities or credit facility.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management, directors and their respective affiliates on a combined basis own a significant percentage of our outstanding shares and will be able to exert significant influence over matters subject to shareholder approval, especially if one or a few shareholders who own between 1% but less than 5% of our Ordinary Shares vote based on their recommendations.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our executive officers, directors and five percent or greater shareholders and their respective affiliates, beneficially own, in the aggregate, approximately 46% of our outstanding Ordinary Shares. To the extent that the same group continue to own a significant percentage of our Ordinary Shares following the listing of our Ordinary Shares on Nasdaq, these shareholders, if they act together, will be able to significantly influence the management and affairs of our Company and most matters requiring shareholder approval. This concentration of ownership may prevent or discourage unsolicited acquisition proposals or offers for our Ordinary Shares that Investors may feel are in their best interest.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Investors will be diluted by future issuances of additional Ordinary Shares in connection with our future adoption of an incentive plan, acquisitions or otherwise; future sales of such shares in the public market, or the expectations that such sales may occur, could lower our share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10% or more of our shares, such holder may be subject to adverse U.S. federal income tax consequences.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United States person is treated as owning (directly, indirectly, or constructively) at least 10% of the value or voting power of our shares, such person may be treated as a “United States shareholder” with respect to us and each of our controlled foreign corporation (“CFC”) subsidiaries (if any). A United States shareholder of a CFC may be required to report annually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or any of our non-U.S. subsidiaries is treated as CFC or whether any investor is treated as a United States shareholder with respect to any such CFC or furnish to any United States shareholder information that may be necessary to comply with the above reporting and tax paying obligations. The United States Internal Revenue Service has provided limited guidance on situations in which investors may rely on publicly available information to comply with their reporting and tax paying obligations with respect to foreign-controlled CFCs. A United States investor should consult its advisors regarding the potential application of these rules to an investment in our Ordinary Shares.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 of our Ordinary Shares may suffer adverse consequences if we are treated as a passive foreign investment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would be a passive foreign investment company (“PFIC”), for any taxable year if, after the application of certain look-through rules, either: (i) 75% or more of our gross income for such year is “passive income” (as defined in the relevant provisions of the Internal Revenue Code of 1986, as amended) (the “Code”); or (ii) 50% or more of the value of our assets (generally determined on the basis of a quarterly average) during such year is attributable to assets that produce or are held for the production of passive income.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treated as a PFIC, adverse U.S. federal income tax consequences could apply to a U.S. Holder (as defined in the section titled “Taxation—United States Federal Income Tax Considerations”) if we are treated as a PFIC for any taxable year during which such U.S. Holder holds our Ordinary Shares. U.S. Holders are urged to consult their tax advisors about the potential application of the PFIC rules to their investment in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an Irish company, investors may face difficulties enforcing their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Irish corporate law differs from U.S. law, and shareholder protections are less developed. In addition, most of our directors and officers reside outside the United States, making it difficult to enforce U.S. judgments.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Reporting and Compliance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identified a material weakness for the years ended December 31, 2025, and 2024 and we may identify material weaknesses in the future that may cause us to fail to meet our reporting obligations or result in material misstatements of our financial statements. If we fail to remediate any material weaknesses or if we otherwise fail to establish and maintain effective control over financial reporting, our ability to accurately and timely report our financial results could be adversely affected.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If we identify material weaknesses in our internal control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Under Section 404 of the Sarbanes-Oxley Act, we will be required to evaluate and determine the effectiveness of our internal control over financial reporting and provide a management report as to internal control over financial reporting. Failure to maintain effective internal control over financial reporting also could potentially subject us to sanctions or investigations by the SEC or other regulatory authorities. In connection with the audit of our financials for the years ended December 31, 2025, and 2024, we and our auditors identified certain deficiencies in internal controls that are considered to be material weaknesses. These material weaknesses contributed to the restatement of our 2024 and 2023 consolidated financial statements in 2025. We intend to remediate these weaknesses by hiring additional resources and modifying our internal and disclosure controls over financial reporting. We cannot assure Investors that these existing material weaknesses will be remediated or that additional material weaknesses will not exist or otherwise be discovered, any of which could materially adversely affect our business, operating results,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qualify as an emerging growth company and a “foreign private issuer.”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certain exemptions and relief from various reporting requirements that are applicable to other public companies that are not emerging growth companies, including (i) not being required to comply with the auditor attestation requirements of Section 404 of the Sarbanes-Oxley Act, (ii) having the option of delaying the adoption of certain new or revised financial accounting standards, (iii) reduced disclosure obligations regarding executive compensation in this Annual Report and our periodic reports and proxy statements and (iv) exemptions from the requirements of holding a nonbinding advisory vote on executive compensation and shareholder approval of any golden parachute payments not previously approved. We may take advantage of these exemptions until such time that we are no longer an emerging growth company. Accordingly, the information contained herein may be different than the information Investors receive from other public companies in which Investors hold stock. Further, pursuant to Section 107 of the JOBS Act,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five years from the date of our initial listing on Nasdaq,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Ordinary Shares held by non-affiliates was $700.0 million or more as of the last business day of the second fiscal quarter of such year or (iv) the date on which we have issued more than $1.0 billion in non-convertible debt securities during the prior three-year period.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 is possible that some investors will find our Ordinary Shares less attractive as a result of the foregoing, which may result in a less active trading market for our Ordinary Shares and higher volatility in our share price.</w:t>
      </w:r>
    </w:p>
    <w:p>
      <w:pPr>
        <w:spacing w:after="0" w:line="1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Davion Healthcare Plc. (“Cyprus”) was incorporated in the Republic of Cyprus on November 29, 2022 with an initial issue of 12,258,458 Ordinary Shares, along with a further 7,741,542 Ordinary Shares being issued in 2023, and an additional 5,000,000 Ordinary Shares issued in 2024, resulting in a total of 25,000,000 subsequently issued and outstanding as at December 31, 2024.</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Share issuances of 12,258,458 and 7,741,542 were at par (€0.01) in connection with capitalization and intellectual property transfers. In 2023, the Company issued 12,258,458 shares at par (€0.01) in connection with intellectual property acquisition of €65 million. A copy of the sale and purchase agreement relating to the acquisition is filed as Exhibit 10.6 to this Annual Report. There are no future payment obligations related to the intellectual property rights. The non-cash transaction was completed at a share price of €5.30 per share (par value being €0.01), with shares being distributed to all shareholders of Davion Healthcare Ltd (“UK Company”) on a pari passu basis to their percentage shareholding in the UK Company at the time of transfer. General meetings of the shareholders of both the seller and buyer took place, and resolutions were passed by both parties, fully approving the terms of the sale and purchase agreement. This transaction was considered a related party transaction as Jack Kaye, CEO, was a director and shareholder of both the seller and buyer, but declared his interest prior to the transaction and excluded himself from voting either as a director or shareholder in respect of both buyer and seller. In considering the mutually agreed upon value of €65 million for the intellectual property portfolio, the directors, considered many factors, including the following: the nature of the intellectual property, its current development stage, further technical refinements necessary for the commercialization of Class I home tests, principally focused on BreastCheck, as well as, management’s estimates of run rate EBIT and market multiples of similar companies, all adjusted for the consideration of the risks associated with regulations, launching a new product, securing distribution and potential customer acceptance.</w:t>
      </w:r>
    </w:p>
    <w:p>
      <w:pPr>
        <w:spacing w:after="0" w:line="200" w:lineRule="exact"/>
        <w:rPr>
          <w:sz w:val="20"/>
          <w:szCs w:val="20"/>
          <w:color w:val="auto"/>
        </w:rPr>
      </w:pP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in June 2024 of 5,000,000 related to the conversion of debt to equity at a conversion of one share for every $10 of debt and also for payment in equity rather than cash to some providers of services to the Cyprus based operation.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transactions are exempt from U.S. Securities Act registration, as they were conducted outside of the United States, and in accordance with Cyprus law and UK law at the time of the transaction. No direct selling activities took place that targeted the U.S. market.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2024, Davion Healthcare Plc. was incorporated in Ireland. In December 2024, a restructuring occurred with the shareholders of Cyprus, exchanging their shares for the same number of shares in Davion Healthcare Plc. making Cyprus a wholly owned subsidiary. Since both companies were under common control, this transaction was treated similar to a “reverse merger” with the combination of both entities at December 31,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comprised of Davion Healthcare Plc. and its wholly owned subsidiary, Cyprus, give effect to the restructuring as if it occurred on January 1, 2023. Since Cyprus was inactive when formed, there were no transactions recognized for the period November 29, 2022 (inception) through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 2026, the Company acquired 100% of Davion Healthcare Corporation, based in the U.S., from our CEO, Jack Kaye.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Davion Healthcare is a healthcare company focusing on the development and commercialization of non-invasive home tests for the early detection, prevention and monitoring of health anomalies.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ind w:right="9460" w:firstLine="8"/>
        <w:spacing w:after="0" w:line="500" w:lineRule="auto"/>
        <w:tabs>
          <w:tab w:leader="none" w:pos="3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Our Company</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afford early non-invasive detection of possible physical abnormalities including breast growths, testicular growths, blood flow and more.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Davion Healthcare Plc was originally incorporated in Cyprus as a public limited company on November 29, 2022 and subsequently re-domiciled its company headquarters to Ireland in September 2024, maintaining an operation in Cyprus through our wholly owned subsidiary, Davion Healthcare Ltd. We moved the company from Cyprus to Ireland within the European Union community, where it can more easily focus on developing its range of home tests for a range of home test products, to identify potential medical conditions and provide early warning to enable further clinical examination where applicable.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third party research and development (Universities and specialized companies) together with outsourced manufacturing and design, to make products, which are then patented (where applicable), manufactured, sold and internationally distributed through licensing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Model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under a licensing-based commercialization model pursuant to which it designs, develops, and patents medical products and non-diagnostic devices and then licenses the manufacturing, marketing, sales, and distribution rights for our products to regional or global commercial partners. These licensees are responsible for obtaining necessary regulatory approvals in their territories and for delivering product support, including customer service and warranty administration. We believe this structure enables us to leverage the established infrastructure, expertise, and market reach of third parties, while allowing us to remain a capital-efficient innovator in medical device technology.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 of Licensing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Company’s standard form of licensing agreement, the licensee is granted the right, on an exclusive or non-exclusive basis depending on the territory and product, to manufacture and/or distribute the licensed product within a defined geographic region. The Company typically retains ownership of all intellectual property and grants the licensee a limited, revocable right to use the Company’s patents, trademarks, and proprietary know-how solely for the purpose of manufacturing and commercializing the licensed product in the agreed territory.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 of Responsibilities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Licensees are generally responsible for:</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Regulatory compliance and filings in their licensed territories, including product registration, notifications, and ongoing post-market surveillance;</w:t>
      </w:r>
    </w:p>
    <w:p>
      <w:pPr>
        <w:spacing w:after="0" w:line="26"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Manufacturing and quality systems, including compliance with applicable quality management standards (such as ISO 13485) and local regulatory manufacturing requirements;</w:t>
      </w:r>
    </w:p>
    <w:p>
      <w:pPr>
        <w:spacing w:after="0" w:line="1"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Marketing, sales, and distribution, including pricing strategy, channel development, and relationships with pharmacies, online platforms, and, where applicable, healthcare institutions; and</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Customer service, warranty administration, and product recalls within their territories.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Company retains responsibility for:</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Product design and development and ongoing improvements to the underlying technology platform;</w:t>
      </w:r>
    </w:p>
    <w:p>
      <w:pPr>
        <w:spacing w:after="0" w:line="224" w:lineRule="exact"/>
        <w:rPr>
          <w:rFonts w:ascii="Arial" w:cs="Arial" w:eastAsia="Arial" w:hAnsi="Arial"/>
          <w:sz w:val="18"/>
          <w:szCs w:val="18"/>
          <w:b w:val="1"/>
          <w:bCs w:val="1"/>
          <w:color w:val="auto"/>
        </w:rPr>
      </w:pPr>
    </w:p>
    <w:p>
      <w:pPr>
        <w:ind w:left="660" w:right="20" w:hanging="328"/>
        <w:spacing w:after="0" w:line="260"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territories where the Company wishes to commence product distribution, it will be responsible for regulatory compliance until such time that a licensee has been appointed and assumed control of the territory;</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Maintenance and enforcement of intellectual property rights; and</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Providing technical support and training materials to licensees as reasonably required under the applicable license agreements.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licensing agreements typically provide for:</w:t>
      </w:r>
    </w:p>
    <w:p>
      <w:pPr>
        <w:spacing w:after="0" w:line="225" w:lineRule="exact"/>
        <w:rPr>
          <w:sz w:val="20"/>
          <w:szCs w:val="20"/>
          <w:color w:val="auto"/>
        </w:rPr>
      </w:pPr>
    </w:p>
    <w:p>
      <w:pPr>
        <w:ind w:left="660" w:hanging="328"/>
        <w:spacing w:after="0" w:line="260"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upfront or periodic licensing fee payable upon execution of the agreement or upon the achievement of specified regulatory or commercial milestones; and</w:t>
      </w:r>
    </w:p>
    <w:p>
      <w:pPr>
        <w:spacing w:after="0" w:line="1" w:lineRule="exact"/>
        <w:rPr>
          <w:rFonts w:ascii="Arial" w:cs="Arial" w:eastAsia="Arial" w:hAnsi="Arial"/>
          <w:sz w:val="18"/>
          <w:szCs w:val="18"/>
          <w:b w:val="1"/>
          <w:bCs w:val="1"/>
          <w:color w:val="auto"/>
        </w:rPr>
      </w:pPr>
    </w:p>
    <w:p>
      <w:pPr>
        <w:ind w:left="660" w:hanging="328"/>
        <w:spacing w:after="0" w:line="259"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Ongoing royalty payments calculated as a percentage of gross or net sales, or on a per-unit basis, for products manufactured and/or sold by the licensee within the licensed territory.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Licensing Agreements and Covered Markets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the Company has entered into a global manufacturing and distribution license agreement with NeuRX Health, Inc. covering the BreastCheck product. This agreement provides NeuRX Health with the right to manufacture and distribute BreastCheck on a global basis, subject to regulatory approvals, commercialization milestones, and performance obligations set forth in the agreement. NeuRX Health is responsible for regulatory compliance, manufacturing, and commercial distribution of BreastCheck within its licensed territories.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agreement, as amended in December 2025, provides for $120 million in staged license fee payments together with minimum annual royalties of $10 million per year over the initial ten-year term. The $120 million license fee is payable with $20 million in cash in the first year with an additional $100 million of NeuRx freely tradable shares payable in 10 equal installments over the 10 year term. Cash royalty payments are based on manufacturing and distribution volumes, subject to the minimum annual royalty. The initial term is for 10 years and Davion has an option to renew for an additional 10 year term. Under the agreement, Davion is required to provide ongoing access to our proprietary test portal. The Company may terminate the agreement if the licensee fails to make royalty and license payments when due and for other uncured breaches of contract. NeuRX intends to initially launch BreastCheck in the U.S. in the second half of 2026, with additional launches in international markets commencing in 2027, subject to market conditions.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we have not entered into any additional license agreements for any other product.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 Markets for Additional Licensing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actively seeking additional regional and global licensees in North America, Europe, and the Middle East for its other products, including FootFlow, Testic, and ThermaDerm. These arrangements are expected to follow a similar licensing structure, with territorial exclusivity and performance-based milestones designed to promote timely commercialization and market penetration.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Revenue Recognition and Cash Flow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recognize revenue from licensing fees and royalties in accordance with IFRS 15, Revenue from Contracts with Customers, based on the satisfaction of performance obligations under its licensing agreements. Cash flows are expected to be derived primarily from milestone-based license fees and recurring royalty payments tied to the volume of products manufactured and/or sold by licensees.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Limitations of the Licensing Model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generate revenue and expand its market presence is dependent on the performance, regulatory compliance, and commercialization efforts of its licensees. Delays in regulatory filings, manufacturing scale-up, or market adoption by licensees could materially and adversely affect the Company’s revenues and growth prospects. There can be no assurance that the Company will be able to secure additional licensees for its products on commercially acceptable terms, or at all.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our strategic model is licensing-driven, we continually evaluate market conditions and the performance of our licensees. If we determine that a licensee has failed to meet its obligations or if commercial, operational, or regulatory conditions change, we may elect to assume responsibility for manufacturing, sales, or distribution of one or more of our products directly. Such a transition may require additional capabilities, resources, and investment and may involve a period of operational realignment as we establish or expand internal commercialization capacity.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focused our unique technologies on an exceptionally affordable home-based test system. Our strength as a Company at this early stage is twofold, that we possess our own IP, patents and technology; and that to date, there are no other known competitors attempting to utilize like-technologies.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intellectual property portfolio consists primarily of issued patents and pending patent applications covering its thermographic medical non-diagnostics platform, including the use of thermochromic liquid crystal film, differential temperature mapping, non-invasive home non-diagnostic configurations, and related software and system architectures. The Company seeks to protect its technology through a combination of patents, trademarks, confidentiality agreements, and proprietary know-how. The following table summarizes the Company’s major patents and patent applications as of the date of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Patents and Patent Applications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 Application No: US K832989 (510(k) reference only)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Scope and Technology: Differential temperature sensing using thermochromic liquid crystal film for breast thermography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Protection: regulatory clearance reference, not patent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 Expected Expiration: Expired 2015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 Application No: GB2208671.4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Scope and Technology: Differential temperature sensing using thermochromic liquid crystal film for breast thermography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Protection: Patent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UK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Date: March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 Expected Expiration: 2043</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Patent / Application No: PCT/IB2023/056131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Scope and Technology: Differential temperature sensing using thermochromic liquid crystal film thermography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Protection: Patent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Worldwide including USA EU and UK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Date: May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 Expected Expiration: 2043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 Application No: US18873943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Scope and Technology: Differential temperature sensing using thermochromic liquid crystal film thermography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Protection: Patent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Date: June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 Expected Expiration: 2044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 Application No: GB2619725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Scope and Technology: Differential temperature sensing using thermochromic liquid crystal film thermography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Protection: Patent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UK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Date: June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 March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 Expected Expiration: 2042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 Application No: US 63801907 GB2502375.5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Scope and Technology: FootFlow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Protection: Patent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UK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Date: Aug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 Expected Expiration: 2044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 Application No: GB2502366.4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Scope and Technology: Testic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Protection: Patent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UK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Date: Aug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 Expected Expiration: 2044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 Application No: PCT 2502368.0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Scope and Technology: ThermaDerm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Protection: Patent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PCT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Filing Date: May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 Expected Expiration: 2044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No granted patents were acquired as part of the intellectual property in February of 2023. The Company’s issued patents generally have a statutory term of 20 years from the earliest non-provisional filing date, subject to the payment of maintenance fees and potential term adjustments. The Company’s pending patent applications, including international PCT filings, are subject to examination and may not result in issued patents in all jurisdictions.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patent protection, the Company relies on trade secrets, proprietary manufacturing processes, software source code, and confidentiality and invention assignment agreements with employees, consultants, and commercial partners to protect its intellectual property.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its intellectual property portfolio provides meaningful protection for its core technology; however, there can be no assurance that its patents will not be challenged, invalidated, circumvented, or that its pending applications will result in issued patents with claims of sufficient scope to provide competitive advantage.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we refer to a product as being “market ready,” we mean that the product design, specifications, and manufacturing processes have been completed, and that manufacturing could commence immediately if required. The term does not refer to the completion of all regulatory filings or approvals in every jurisdiction.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BreastCheck and FootFlow have completed applicable Class I medical device self-declaration and registration or notification requirements in their initial target markets, the USA and Europe, and are commercially prepared for launch.</w:t>
      </w:r>
    </w:p>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With respect to ThermaDerm and Testic, the remaining regulatory step prior to commercial launch in any particular country is the filing of a manufacturer’s self-declaration of conformity for a Class I medical device and the required registration or notification with the relevant regulatory authority in the country of intended distribution. These filings do not require premarket regulatory approval. However, regulatory authorities may, on a post-market basis, request additional information to confirm the Company’s stated device classification and, in some cases, may require further testing or product modifications.</w:t>
      </w:r>
    </w:p>
    <w:p>
      <w:pPr>
        <w:spacing w:after="0" w:line="1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of the Company’s products — BreastCheck, FootFlow, Testic, and ThermaDerm — are designed and intended to be sold directly to consumers over the counter, without the involvement of a healthcare professional, subject to compliance with applicable regulatory requirements in each jurisdiction.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ability to sell a product over the counter is product-specific determination and does not apply to all Class I medical devices generally. BreastCheck and FootFlow have completed applicable Class I medical device self-declaration and registration or notification requirements in their initial target markets and are commercially prepared for launch.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Testic and ThermaDerm do not require premarket regulatory clearance or approval prior to launch beyond the manufacturer’s standard Class I medical device declaration of conformity and the required registration or notification of the products with the relevant regulatory authority in each country in which the products are planned to be marketed.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BreastCheck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Davion Healthcare Plc specializes in the design, development, manufacture and global distribution of non-invasive home tests to provide early-stage warning of health anomalies.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home test products, including BreastCheck and FootFlow, are based on the principle of thermography, which measures and maps variations in skin surface temperature. Subtle changes in temperature can indicate underlying physiological conditions. For example, areas of increased blood flow or inflammation typically generate more heat, while poor circulation may present as cooler regions.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capture these variations, we use liquid crystal film, a thin layer of cholesteric liquid crystals engineered to respond to narrow temperature ranges (typically 32–38°C, the normal skin surface range). When the film is placed on the skin, its molecular structure shifts in response to local temperature, producing distinct color changes. These color patterns form a thermal map that highlights relative differences across the skin surface.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approach is non-invasive, real-time, and reversible. It allows for comparative assessment between symmetrical body areas—such as left versus right breast tissue, or one foot versus the other—to identify meaningful differences that may indicate potential health anomalies.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BreastCheck and FootFlow, use thermography to detect small but meaningful changes in skin surface temperature. Liquid crystal film placed on the skin produces visible color shifts in response to temperature differences, creating a thermal map that highlights areas of potential concern.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earlier, clinically administered version of the BreastCheck product, marketed as the BreastCare/BreastAlert Differential Temperature Sensor, was cleared by the U.S. Food and Drug Administration as a Class II medical device pursuant to Section 510(k) premarket notification number K832989 for use by medical practitioners. In connection with that clearance, approximately 5,000 clinical tests were conducted across hospitals in North and South America to support the regulatory submission, and summaries of those results are included in Exhibit 10.8 to this Annual Report.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current BreastCheck product is not a Class II medical device pursuant to Section 510(k), but utilizes the same underlying thermochromic liquid crystal film and differential temperature-mapping principles included in BreastCare. However, the current configuration is designed for home use and is registered as a Class I medical device under applicable self-declaration and registration frameworks. The Company has not conducted large-scale, randomized clinical trials for the current home-use configuration. Product performance and reliability are supported by internal testing, prototype validation, and applicable regulatory registrations for Class I medical devices. Safety and efficacy of our products are determinations that are solely within the authority of the FDA or similar foreign regulators.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to our product pipeline, this technology underpins:</w:t>
      </w:r>
    </w:p>
    <w:p>
      <w:pPr>
        <w:spacing w:after="0" w:line="22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BreastCheck </w:t>
      </w:r>
      <w:r>
        <w:rPr>
          <w:rFonts w:ascii="Times New Roman" w:cs="Times New Roman" w:eastAsia="Times New Roman" w:hAnsi="Times New Roman"/>
          <w:sz w:val="18"/>
          <w:szCs w:val="18"/>
          <w:color w:val="auto"/>
        </w:rPr>
        <w:t>– Early detection of abnormal breast tissue patterns where localized heat may signal increased vascular activity.</w:t>
      </w:r>
    </w:p>
    <w:p>
      <w:pPr>
        <w:spacing w:after="0" w:line="30"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FootFlow </w:t>
      </w:r>
      <w:r>
        <w:rPr>
          <w:rFonts w:ascii="Times New Roman" w:cs="Times New Roman" w:eastAsia="Times New Roman" w:hAnsi="Times New Roman"/>
          <w:sz w:val="18"/>
          <w:szCs w:val="18"/>
          <w:color w:val="auto"/>
        </w:rPr>
        <w:t>– Monitoring of diabetic circulation in the feet and hands, where cooler regions may indicate impaired blood flow and hotter regions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suggest infection or inflammation.</w:t>
      </w:r>
    </w:p>
    <w:p>
      <w:pPr>
        <w:spacing w:after="0" w:line="1" w:lineRule="exact"/>
        <w:rPr>
          <w:rFonts w:ascii="Arial" w:cs="Arial" w:eastAsia="Arial" w:hAnsi="Arial"/>
          <w:sz w:val="18"/>
          <w:szCs w:val="18"/>
          <w:b w:val="1"/>
          <w:bCs w:val="1"/>
          <w:color w:val="auto"/>
        </w:rPr>
      </w:pPr>
    </w:p>
    <w:p>
      <w:pPr>
        <w:ind w:left="660" w:right="20" w:hanging="328"/>
        <w:spacing w:after="0" w:line="259"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Other pipeline products </w:t>
      </w:r>
      <w:r>
        <w:rPr>
          <w:rFonts w:ascii="Times New Roman" w:cs="Times New Roman" w:eastAsia="Times New Roman" w:hAnsi="Times New Roman"/>
          <w:sz w:val="18"/>
          <w:szCs w:val="18"/>
          <w:color w:val="auto"/>
        </w:rPr>
        <w:t>– Including skin health and wound monitoring applications, where localized temperature changes can track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inflammation or healing progress.</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integration of artificial intelligence enhances this process. Images of the liquid crystal film taken with a smartphone are transmitted to a secure back-end server, where AI algorithms quantify color patterns, adjust for lighting and environmental variables, and recognize thermal anomalies with greater sensitivity than manual observation. This provides standardized, reproducible results and supports scalable remote monitoring.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combining liquid crystal film with AI-enabled analysis, our products convert simple temperature mapping into actionable health insights, making early detection more accessible and reliable for home users.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first product for roll-out is “BreastCheck”. BreastCheck is a non-invasive test for breast abnormalities. The test can be carried out at home and takes less than 15 minutes. The results are immediate and BreastCheck provides a guide in the first stage identification of potential breast abnormalities. While BreastCheck is not a replacement for a mammogram, it is positioned as an early stage first line investigative device for identifying potential anomalies which may require further clinical investigation. The patented technology behind BreastCheck is FDA registered in the USA under group registration number 3027486037, as a Class I medical device. It is non diagnostic and non-invasive, and as such, is eligible as a product that may be sold over the counter in pharmacies or on-line without medical prescription. It is also registered with the relevant regulatory authorities in the EU and the UK. The Company has filed and have had accepted and registered, a patent under the following patent reference GB2208671.4 (dated 06/14/2022). The patent gives coverage in the USA as part of a group of countries covered under international patent law.</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BreastCheck is a non-invasive, low-cost way to routinely monitor for breast abnormalities and is intended to be used as an adjunct to established procedures for the detection of breast disease, such as clinical breast examination and mammography. Abnormalities within the breast frequently produce additional breast heat. BreastCheck averages temperature at three areas on each breast. By comparing the temperature of corresponding areas of one breast to the other, and entering the results on our Mobile App, results can be interpreted immediately. A non-invasive adjunct to mammograms in aiding early-stage warnings of breast abnormalities, through the use of measuring temperature differentials.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the opportunity for this product is global. Breast cancer is the most common cancer among women worldwide, accounting for about 25% of all cancers in women. The incidence of breast cancer varies widely by region, with the highest rates typically seen in North America, Europe, and Australia. Breast cancer is less common in Asia and Africa, but the incidence is increasing in these regions due to increasing rates of westernization and urbanization.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several factors that can influence the incidence of breast cancer, including genetics, hormonal factors, lifestyle factors (such as diet, physical activity, and alcohol consumption), and reproductive history.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note that the incidence of Breast Cancer has been increasing over the past few decades in many countries, likely due to a combination of factors such as increased awareness and detection of the disease, as well as changes in risk factors such as later age at childbirth and increased use of hormone replacement therapy.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USA alone in 2022 the estimated population of women between the age of 20–70 was 333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www.statista.com_Society_Demographics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2019, Europe recorded that there are over 200 million women in this age bracket.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sources: UNDESA, Eurostat, World Bank – World Development Indicators data.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the Centers for Disease Control and Prevention (CDC), about 240,000 cases of breast cancer are diagnosed in women in the United States each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Breast Cancer Research Foundation estimates that in 2023, an estimated 297,790 new cases of invasive breast cancer will be diagnosed in women in the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World Health Organization (WHO) reports that in 2020, there were 2.3 million women diagnosed with breast cancer globally.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Breast cancer is currently the most common cancer globally, accounting for 12.5% of all new annual cancer cases worldwide. Here are the American Cancer Society estimates for breast cancer just in the United States for 2022 - This information is provided by Breastcancer.org:</w:t>
      </w:r>
    </w:p>
    <w:p>
      <w:pPr>
        <w:spacing w:after="0" w:line="16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About 13% (about 1 in 8) of U.S. women are going to develop invasive breast cancer in the course of their life.</w:t>
      </w:r>
    </w:p>
    <w:p>
      <w:pPr>
        <w:spacing w:after="0" w:line="26"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2022, an estimated 287,850 new cases of invasive breast cancer are expected to be diagnosed in women in the U.S., along with 51,400 new cases of non-invasive (in situ) breast cancer.</w:t>
      </w:r>
    </w:p>
    <w:p>
      <w:pPr>
        <w:spacing w:after="0" w:line="1" w:lineRule="exact"/>
        <w:rPr>
          <w:rFonts w:ascii="Arial" w:cs="Arial" w:eastAsia="Arial" w:hAnsi="Arial"/>
          <w:sz w:val="18"/>
          <w:szCs w:val="18"/>
          <w:b w:val="1"/>
          <w:bCs w:val="1"/>
          <w:color w:val="auto"/>
        </w:rPr>
      </w:pPr>
    </w:p>
    <w:p>
      <w:pPr>
        <w:ind w:left="660" w:right="20" w:hanging="328"/>
        <w:spacing w:after="0" w:line="249"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About 2,710 new cases of invasive breast cancer were expected to be diagnosed in men in 2022. A man’s lifetime risk of breast cancer is about 1 in 833.</w:t>
      </w:r>
    </w:p>
    <w:p>
      <w:pPr>
        <w:spacing w:after="0" w:line="1"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of January 2023, there are more than 3.8 million women with a history of breast cancer in the U.S. This includes women currently being treated and women who have finished treatment.</w:t>
      </w:r>
    </w:p>
    <w:p>
      <w:pPr>
        <w:spacing w:after="0" w:line="1"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Breast cancer is the most commonly diagnosed cancer among American women. In 2023, it’s estimated that about 30% of newly diagnosed cancers in women are going to be breast cancers.</w:t>
      </w:r>
    </w:p>
    <w:p>
      <w:pPr>
        <w:spacing w:after="0" w:line="1" w:lineRule="exact"/>
        <w:rPr>
          <w:rFonts w:ascii="Arial" w:cs="Arial" w:eastAsia="Arial" w:hAnsi="Arial"/>
          <w:sz w:val="18"/>
          <w:szCs w:val="18"/>
          <w:b w:val="1"/>
          <w:bCs w:val="1"/>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Breast cancer incidence rates in the United States began decreasing in the year 2000, after increasing for the previous two decades. They dropped by 7% from 2002 to 2003 alone. One theory is that this decrease was partially due to the reduced use of hormone replacement therapy (HRT) by women after the results of a large study called the Women’s Health Initiative were published in 2002. These results suggested a connection between HRT and increased breast cancer risk. In recent years, incidence rates have increased slightly by 0.5% per year.</w:t>
      </w:r>
    </w:p>
    <w:p>
      <w:pPr>
        <w:ind w:left="660" w:hanging="328"/>
        <w:spacing w:after="0" w:line="249"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woman’s risk of breast cancer nearly doubles if she has a first-degree relative (mother, sister, daughter) who has been diagnosed with breast cancer. Approximately 15% of women who get breast cancer have a family member diagnosed with it.</w:t>
      </w:r>
    </w:p>
    <w:p>
      <w:pPr>
        <w:spacing w:after="0" w:line="1" w:lineRule="exact"/>
        <w:rPr>
          <w:rFonts w:ascii="Arial" w:cs="Arial" w:eastAsia="Arial" w:hAnsi="Arial"/>
          <w:sz w:val="18"/>
          <w:szCs w:val="18"/>
          <w:b w:val="1"/>
          <w:bCs w:val="1"/>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About 5% to 10% of breast cancers can be linked to known gene mutations inherited from one’s mother or father. Mutations in the BRCA1 and BRCA2 genes are the most common. On average, women with a BRCA1 mutation have up to a 72% lifetime risk of developing breast cancer. Women with a BRCA2 mutation have up to a 69% risk. Breast cancer that is positive for the BRCA1 or BRCA2 mutations tends to develop more often in younger women. An increased ovarian cancer risk is also associated with these genetic mutations. In men, BRCA2 mutations are associated with a lifetime breast cancer risk of about 6.8%; BRCA1 mutations are a less frequent cause of breast cancer in men.</w:t>
      </w:r>
    </w:p>
    <w:p>
      <w:pPr>
        <w:spacing w:after="0" w:line="1" w:lineRule="exact"/>
        <w:rPr>
          <w:rFonts w:ascii="Arial" w:cs="Arial" w:eastAsia="Arial" w:hAnsi="Arial"/>
          <w:sz w:val="18"/>
          <w:szCs w:val="18"/>
          <w:b w:val="1"/>
          <w:bCs w:val="1"/>
          <w:color w:val="auto"/>
        </w:rPr>
      </w:pPr>
    </w:p>
    <w:p>
      <w:pPr>
        <w:ind w:left="660" w:right="20" w:hanging="328"/>
        <w:spacing w:after="0" w:line="249"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About 85% of breast cancers occur in women who have no family history of breast cancer. These occur due to genetic mutations that happen as a result of the aging process and life in general, rather than inherited mutations.</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most significant risk factors for breast cancer are being a woman and getting older.</w:t>
      </w:r>
    </w:p>
    <w:p>
      <w:pPr>
        <w:spacing w:after="0" w:line="8" w:lineRule="exact"/>
        <w:rPr>
          <w:rFonts w:ascii="Arial" w:cs="Arial" w:eastAsia="Arial" w:hAnsi="Arial"/>
          <w:sz w:val="18"/>
          <w:szCs w:val="18"/>
          <w:b w:val="1"/>
          <w:bCs w:val="1"/>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About 43,250 women in the U.S. are expected to die in 2022 from breast cancer. Breast cancer death rates have been decreasing steadily since 1989, for an overall decline of 43% through 2020. These decreases are thought to be the result of treatment advances and earlier detection through screening. However, the decline has slowed slightly in recent years.</w:t>
      </w: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Breast cancer is one of the leading causes of cancer-related death in women in the United States, second only to lung cancer.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Breast cancer is the most diagnosed cancer globally. It accounts for 1 in 4 cancer cases among women and is the leading cause of death from cancer in women. The estimated 2.2 million new cases indicate that one in every 10 cancers diagnosed in 2020 is breast cancer. In 2020, there were an estimated 684,996 deaths from breast cancer, with a disproportionate number of these deaths occurring in low-resource settings.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Survival rates for breast cancer are very high when the cancer is detected early and where treatment is available. Unfortunately, 50 to 80% of breast cancer cases are diagnosed at an advanced stage 2 in many low- and middle-income countries, when the cancer is more difficult to treat, is more expensive to do so, and is usually incurable.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these above statistics, and the fact that the near exclusive method of detecting and verifying breast formations today is a mammogram, it can only be assumed that there is a large and open market of women who would wish to monitor their health for potential breast anomalies in the privacy of their own home.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FootFlow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is the second non-invasive home test product in our portfolio, utilizing the same proprietary technology platform as BreastCheck. FootFlow is specifically designed to diagnose Peripheral Arterial Disease (PAD) and Diabetes. Diabetes is estimated to affect approximately 530 million adults worldwide, with a global prevalence of 10.5 percent among adults aged 20 to 79 years [1,2]. Type 2 diabetes represents approximately 98 percent of global diabetes diagnoses, although this proportion varies widely among countries [3]. In an analysis of data from the National Health Interview Survey (2016 and 2017), the prevalence of diagnosed type 2 diabetes among adults in the United States was 8.5 percent [4]. Other national databases, such as the Center for Disease Control and Prevention Diabetes Surveillance System, reported in 2022 a prevalence of diagnosed diabetes of approximately 11.3 percent of adults (37.3 million people; 28.7 million with diagnosed diabetes, an estimated 8.5 million undiagnosed, and 95 percent of whom have type 2 diabetes) (Source: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NIH, WHO, CDC)</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Footflow is a non-invasive test for comparing skin temperature at your toes. The test can be carried out at home and takes 10 minutes. The results are almost immediate, and by comparing the resulting temperatures of the toes on the left foot to those on the right foot, results can be an early-stage guide for clinicians with respect to Peripheral Arterial Disease (PAD) and Diabetes. Like BreastCheck, FootFlow is registered with the FDA under registration number 3027486037 (Patent number USA63801907 dated 05/08/2025) which is the same group number that BreastCheck is registered 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Poor blood circulation in the feet, being a common symptom of both medical conditions.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FootFlow is a reliable and accurate way to routinely monitor foot temperatures which can be used as an adjunct to established procedures for the detection and/or treatment of both PAD and Diabetes, amongst other medical conditions.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comparing the temperature of the toes on each foot, and then entering the results either on our Mobile Application or our Website, the results can be interpreted almost immediately.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Individuals with diabetes for example may experience lower skin temperature in their toes, due to various factors associated with the condition. Diabetes can affect the blood vessels and nerves that supply the extremities, leading to a reduction in blood flow and damage to the nerves (peripheral neuropathy). This can result in a decrease in sensation and poor circulation in the feet, leading to cooler skin temperature.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continually looking to improve and further develop our existing products. In the future development pipeline, there is a range of other non-invasive home tests covering a wide variety of medical conditions which the Company expects to roll out over the next few years. However, currently no third party research and development work is taking place as the four home tests are market ready and the Company is focusing on commercialization for the time being.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product development regime, all products are both patented and trademarked where applicable. The Company also registers its products with the various regulatory or authorities such as in the USA (FDA), Europe (CE), and the United Kingdom (UKCA) to enable over the counter sales to be approved.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depends on our ability to develop and protect proprietary technology in the field of home testing.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significant capabilities in product engineering, development, and design, which have enabled us to create proprietary systems and technologies in the field of non-invasive home medical testing. Our strategy is to focus on areas where there is a clear unmet medical need and where few, if any, direct competitors currently offer effective solutions, particularly in the early-stage identification of potential health anomalies. By targeting these underserved markets, we aim to establish strong first-mover advantages and create intellectual property that can serve as a foundation for long-term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protect these innovations is critical to our success. To accomplish this, we rely on a combination of patents, patent applications, trade secrets, employee and third-party nondisclosure agreements, copyright laws, trademarks, intellectual property licenses, and other contractual protections. We intend to continue developing unique home test technologies and to file additional patent applications covering our devices, systems, and methods.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BreastCheck, we are pursuing a pipeline of other non-invasive home tests that leverage our core competencies in anomaly detection. These development programs are intended to expand our portfolio into broader areas of health screening and monitoring, creating multiple potential revenue streams. However, if we are unable to secure and maintain strong intellectual property rights around these innovations, or if competitors are able to replicate our technologies without infringing our rights, our ability to achieve and sustain a competitive advantage could be materially and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 Regarding Our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we refer to a product as being “market ready,” we mean that the product design, specifications, and manufacturing processes have been completed, and that manufacturing could commence immediately if required. The term does not refer to the completion of all regulatory filings or approvals in every jurisdiction.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of the Company’s products — BreastCheck, FootFlow, Testic, and ThermaDerm — are designed and intended to be sold directly to consumers over the counter, without the involvement of a healthcare professional, subject to compliance with applicable regulatory requirements in each jurisdiction.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ability to sell a product over the counter is a product-specific determination and does not apply to all Class I medical devices generally.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BreastCheck and FootFlow have completed applicable Class I medical device self-declaration and registration or notification requirements in their initial target markets and are commercially prepared for launch.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Testic and ThermaDerm do not require premarket regulatory clearance or approval prior to launch beyond the manufacturer’s standard Class I medical device declaration of conformity and the required registration or notification of the products with the relevant test portal authority in each country in which the products are planned to be marketed.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BreastCheck and FootFlow have completed applicable Class I medical device self-declaration and registration or notification requirements in their initial target markets, the USA and Europe, and are commercially prepared for launch.</w:t>
      </w:r>
    </w:p>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With respect to ThermaDerm and Testic, the remaining regulatory step prior to commercial launch in any particular country is the filing of a manufacturer’s self-declaration of conformity for a Class I medical device and the required registration or notification with the relevant regulatory authority in the country of intended distribution. These filings do not require premarket regulatory approval. However, regulatory authorities may, on a post-market basis, request additional information to confirm the Company’s stated device classification and, in some cases, may require further testing or product modifications.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The research, development, preclinical, clinical trials (where applicable), as well as the manufacture, labelling, marketing, sales, record-keeping, advertising, distribution, and promotion of medical device products are subject to extensive and rigorous government regulation in the United States and in other countries in which Company’s products are sought to be marketed.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process of obtaining authorization to market our products varies, depending on the product categorization and the country, from merely notifying the authorities of intent to sell, to lengthy formal approval procedures which often require detailed laboratory and clinical testing and other costly and time-consuming processes. The main regulatory bodies which require extensive clinical testing are the Food and Drug Administration (“FDA”) in the United States, the Health Products Regulatory Authority (European Union), the Medicines and Healthcare products Regulatory Agency (MHRA) in the United Kingdom and Health Canada. The process in each country varies considerably depending on the nature of the test, the perceived risk to the user and patient.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Union — CE Marking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(EU) 2017/745 on Medical Devices (MDR)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European Union, our products are regulated under Regulation (EU) 2017/745 on medical devices (the “MDR”) and are intended to be classified as Class I non-invasive medical devices under the classification rules set forth in Annex VIII of the MDR. Class I devices are those that present a low risk to users and patients and, in most cases, may be placed on the market without the involvement of a notified body, provided the device is not sterile, does not have a measuring function, and is not reusable surgical instrumentation.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Conformity Assessment and Self-Declaration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Class I devices, the manufacturer may demonstrate conformity through a self-declaration of conformity. This process requires the manufacturer to establish and document that the device meets the General Safety and Performance Requirements (GSPRs) set out in Annex I of the MDR. These requirements cover, among other things, device safety, clinical performance, risk management, chemical, physical and biological properties, labelling, and instructions for use.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Technical Documentation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Prior to placing a product on the market, the manufacturer must prepare and maintain technical documentation in accordance with Annex II and Annex III of the MDR, which includes:</w:t>
      </w:r>
    </w:p>
    <w:p>
      <w:pPr>
        <w:spacing w:after="0" w:line="181" w:lineRule="exact"/>
        <w:rPr>
          <w:sz w:val="20"/>
          <w:szCs w:val="20"/>
          <w:color w:val="auto"/>
        </w:rPr>
      </w:pPr>
    </w:p>
    <w:p>
      <w:pPr>
        <w:ind w:right="1380"/>
        <w:spacing w:after="0" w:line="282" w:lineRule="auto"/>
        <w:rPr>
          <w:sz w:val="20"/>
          <w:szCs w:val="20"/>
          <w:color w:val="auto"/>
        </w:rPr>
      </w:pPr>
      <w:r>
        <w:rPr>
          <w:rFonts w:ascii="Times New Roman" w:cs="Times New Roman" w:eastAsia="Times New Roman" w:hAnsi="Times New Roman"/>
          <w:sz w:val="18"/>
          <w:szCs w:val="18"/>
          <w:color w:val="auto"/>
        </w:rPr>
        <w:t>A detailed device description and specification, including intended purpose and variants together with Risk Management documentation, demonstrating identification, evaluation, control, and monitoring of risks throughout the product lifecycle;</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Clinical evaluation </w:t>
      </w:r>
      <w:r>
        <w:rPr>
          <w:rFonts w:ascii="Times New Roman" w:cs="Times New Roman" w:eastAsia="Times New Roman" w:hAnsi="Times New Roman"/>
          <w:sz w:val="18"/>
          <w:szCs w:val="18"/>
          <w:color w:val="auto"/>
        </w:rPr>
        <w:t>demonstrating performance and safety, which may include clinical literature, equivalence data, and post-market clinical follow-up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w:t>
      </w:r>
    </w:p>
    <w:p>
      <w:pPr>
        <w:spacing w:after="0" w:line="15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Device description and intended purpose;</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Risk management and performance data;</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Manufacturing and quality control processes;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Labelling and instructions for use in English;</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post-market surveillance and vigilance plan;</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Quality Management System:</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manufacturer must establish and maintain a quality management system (“QMS”) appropriate to the device and its regulatory classification. While certification to ISO 13485 is not mandatory for Class I devices, many manufacturers adopt this standard to demonstrate conformity with MDR requirements and to facilitate market access and regulatory inspections.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Economic Operators and Authorized Representatives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Manufacturers located outside the European Union must appoint an EU Authorized Representative, who acts as a regulatory contact point and holds certain compliance responsibilities under the MDR. Importers and distributors are also considered economic operators and are required to verify that the device bears the CE mark, that a declaration of conformity has been drawn up, and that the manufacturer has fulfilled applicable registration obligations. As Davion Healthcare Plc is an Irish registered Company and Ireland is a member state of the European Union, no EU Authorized Representative is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and UDI Requirements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commercialization, manufacturers must register themselves and their devices in the European Database on Medical Devices (“EUDAMED”), where available, or with the relevant national competent authority. Devices are assigned a Unique Device Identification (“UDI”) to enable traceability throughout the supply chain and post-market lifecycle.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 Marking and Market Placement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Once conformity is demonstrated and the EU Declaration of Conformity is signed, the manufacturer may affix the CE mark and place the device on the EU market.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Post-Market Surveillance and Vigilance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Following commercialization, manufacturers are subject to ongoing post-market surveillance obligations, including the collection and analysis of performance and safety data, periodic safety update reporting where applicable, and vigilance reporting of serious incidents and field safety corrective actions. National competent authorities have the power to request technical documentation, conduct audits and inspections, and require corrective measures, including product modification, suspension, or withdrawal from the market if a device is found not to comply with MDR requirements.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Kingdom — UKCA Marking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Medical Devices Regulations 2002 (as amended)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Kingdom, medical devices are regulated by the Medicines and Healthcare products Regulatory Agency (“MHRA”) under the UK Medical Devices Regulations 2002, as amended following the United Kingdom’s withdrawal from the European Union. Our products are intended to be classified as Class I medical devices under the applicable UK classification rules.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Conformity Assessment and Self-Certification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Class I devices, manufacturers may place products on the UK market through a self-certification and UK Declaration of Conformity process, without the involvement of a UK Approved Body, provided that the device is not sterile, does not have a measuring function, and does not otherwise require third-party conformity assessment.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Technical Documentation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Prior to placing a product on the UK market, the manufacturer must prepare and maintain technical documentation demonstrating compliance with the applicable essential requirements, including:</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Device description and intended purpose;</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Risk management and performance data;</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Manufacturing and quality control processes;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Labelling and instructions for use in English;</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post-market surveillance and vigilance plan;</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Quality Management System:</w:t>
      </w:r>
    </w:p>
    <w:p>
      <w:pPr>
        <w:spacing w:after="0" w:line="2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manufacturer must establish and maintain an appropriate quality management system. While formal certification to ISO 13485 is not mandatory for Class I devices, it is commonly adopted to support regulatory compliance and facilitate MHRA inspections.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Responsible Person and Economic Operators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Manufacturers located outside the United Kingdom must appoint a UK Responsible Person, who acts as the point of contact with the MHRA and ensures that the manufacturer has complied with its regulatory obligations. Importers and distributors are required to verify that products are properly marked and registered prior to placing them on the market.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and Device Listing</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Manufacturers must register themselves and their Class I devices with the MHRA through the UK device registration system before placing the products on the UK market. Registration includes submission of device and manufacturer information and confirmation of conformity assessment status.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UKCA Marking and Market Placement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Once conformity has been demonstrated and the UK Declaration of Conformity has been signed, the manufacturer may affix the UKCA mark (or, during applicable transition periods, the CE mark as permitted by UK regulations) and place the device on the UK market.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Post-Market Surveillance and Enforcement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Manufacturers are subject to ongoing post-market surveillance and vigilance requirements, including reporting serious incidents, implementing field safety corrective actions, and maintaining traceability records. The MHRA has the authority to request technical documentation, conduct inspections, and require corrective measures, including product modification, suspension, or withdrawal from the market, if a device is determined not to comply with applicable regulatory requirements.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Depending on the nature of the Company’s registration, manufacturing and distribution of its products in each jurisdiction and the product itself, will dictate the compliance regime a product is subject to. The Company’s strategy is to minimize its product imposed government regulatory compliance through focusing on Class I medical devices and licensing its intellectual property to third parties, who handle the manufacturing and distribution.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Exposures for BreastCheck in United States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BreastCheck will be manufactured and distributed in the United States by an independent licensee that is registered with the FDA as a medical device establishment. The licensee is responsible for compliance with the FDA’s quality system, labeling, and reporting requirements applicable to Class I devices. While the Company maintains certain contractual rights to monitor quality and regulatory compliance, it does not control the licensees’ operations or FDA interactions. Accordingly, the Company’s exposure to regulatory risk arises indirectly through its reliance on licensees for compliance and through the potential reputational and commercial effects of any enforcement action or compliance failure affecting licensed products.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BreastCheck and FootFlow, use thermography to detect small but meaningful changes in skin surface temperature. Liquid crystal film placed on the skin produces visible color shifts in response to temperature differences, creating a thermal map that highlights areas of potential concern.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current configuration of BreastCheck and its FootFlow products are designed for home use and are registered as a Class I medical devices under applicable self-declaration and registration frameworks. The Company has not conducted large-scale, randomized clinical trials for the current home-use configuration. Product performance and reliability are supported by internal testing, prototype validation, and applicable regulatory registrations for Class I medical devices. Safety and efficacy of our products are determinations that are solely within the authority of the FDA or similar foreign regulators.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under its license for BreastCheck, the Company is obligated to provide access to its proprietary test portal to the licensee, which is essential to the functionality of the BreastCheck product. Through the test portal, the Company will collect and maintain health-related and personal information from users globally, through its connected applications and data portal.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test portal and proprietary software platform are used to display, process, and transmit thermal imagery generated by the Company’s products. The Company does not believe that this software requires separate premarket regulatory clearance or approval as a standalone medical device in the United States, European Union, or Middle East, because it does not independently perform diagnostic decision-making or automated clinical interpretation and is used as a supporting visualization and data management tool.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test portal and AI analysis platform are not currently regulated as standalone medical devices (Software as a Medical Device) in our principal jurisdictions; however, regulators may in the future determine that certain software functions fall within SaMD frameworks.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proprietary medical thermal imaging software that is approved for medical use in the United States, Europe, and the Middle East. However, regulatory authorities may, in the future, determine that certain software functionalities constitute regulated medical device software, which could require additional regulatory filings, approvals, or modifications to the Company’s software platform.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responsible for compliance with HIPAA and related federal and state privacy and data-security requirements, and will implement administrative and technical safeguards to protect such information. The Company will periodically reviews its systems and vendor arrangements to ensure compliance with evolving regulations and to mitigate the risk of unauthorized access or disclosure. Non-compliance, cybersecurity incidents, or new regulatory obligations could adversely affect the Company’s operations and financial condition.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is additional information regarding the compliance requirements for Class I medical devices with the FDA, as well as U.S. Federal and State data privacy laws.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Food and Drug Administration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BreastCheck and FootFlow sold in the United States are medical devices subject to the Federal Food, Drug, and Cosmetic Act (“FDCA”), as implemented and enforced by the U.S. Food and Drug Administration (“FDA”). Certain products sold in the United States require FDA clearance to market under Section 510(k) of the FDCA, which our products are not subject too currently. Other products sold in the United States require premarket approval (“PMA”) to market.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by us or by our licensee suppliers to comply with applicable regulatory requirements can result in enforcement action by the FDA or other regulatory authorities, which may result in sanctions including, but not limited to:</w:t>
      </w:r>
    </w:p>
    <w:p>
      <w:pPr>
        <w:spacing w:after="0" w:line="1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unanticipated expenditures to address or defend such actions;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customer notifications for repair, replacement, refunds;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recall, detention or seizure of our products;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operating restrictions;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refusal to grant export approval for our products; or</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criminal prosecution.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spacing w:after="0" w:line="282" w:lineRule="auto"/>
        <w:rPr>
          <w:sz w:val="20"/>
          <w:szCs w:val="20"/>
          <w:color w:val="auto"/>
        </w:rPr>
      </w:pPr>
      <w:r>
        <w:rPr>
          <w:rFonts w:ascii="Times New Roman" w:cs="Times New Roman" w:eastAsia="Times New Roman" w:hAnsi="Times New Roman"/>
          <w:sz w:val="18"/>
          <w:szCs w:val="18"/>
          <w:color w:val="auto"/>
        </w:rPr>
        <w:t>The FDA governs the following activities that we perform or that are performed on our behalf, to ensure that medical products distributed domestically or exported internationally are safe and effective for their intended uses:</w:t>
      </w:r>
    </w:p>
    <w:p>
      <w:pPr>
        <w:spacing w:after="0" w:line="16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product design, development and manufacture;</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product safety, testing, labelling and storage;</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record keeping procedures;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product marketing, sales and distribution; and</w:t>
      </w:r>
    </w:p>
    <w:p>
      <w:pPr>
        <w:spacing w:after="0" w:line="8" w:lineRule="exact"/>
        <w:rPr>
          <w:rFonts w:ascii="Arial" w:cs="Arial" w:eastAsia="Arial" w:hAnsi="Arial"/>
          <w:sz w:val="18"/>
          <w:szCs w:val="18"/>
          <w:b w:val="1"/>
          <w:bCs w:val="1"/>
          <w:color w:val="auto"/>
        </w:rPr>
      </w:pPr>
    </w:p>
    <w:p>
      <w:pPr>
        <w:ind w:left="660" w:hanging="328"/>
        <w:spacing w:after="0" w:line="259" w:lineRule="auto"/>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post-marketing surveillance, complaint handling, medical device reporting, reporting of deaths, serious injuries or device malfunctions and repair or recall of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FDCA, medical devices are classified into one of three classes -- Class I, Class II or Class III -- depending on the degree of risk associated with each medical device and the extent of control needed to ensure safety and effectiveness. Davion is only engaged in Class I medical devices that only require premarket product registration.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Class I devices are those for which safety and effectiveness can be assured by adherence to FDA’s general regulatory controls for medical devices, which include compliance with the applicable portions of the FDA’s Quality System Regulation (“QSR”), facility registration and product listing, reporting of adverse medical events, and appropriate, truthful and non-misleading labelling, advertising, and promotional materials (the “General Controls”). Some Class I devices also require premarket clearance by the FDA through the 510(k) premarket notification process, which none of Davion’s products are currently subject to.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Post-market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FDA permits a device to enter commercial distribution, numerous regulatory requirements apply. These include:</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product listing and establishment registration, which helps facilitate FDA inspections and other regulatory action;</w:t>
      </w:r>
    </w:p>
    <w:p>
      <w:pPr>
        <w:spacing w:after="0" w:line="26"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Quality System Regulation, (“QSR”), which requires manufacturers, including third-party manufacturers, to follow stringent design, testing, control, documentation and other quality assurance procedures during all aspects of the manufacturing process;</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labelling regulations and FDA prohibitions against the promotion of products for uncleared, unapproved or off label use or indication;</w:t>
      </w:r>
    </w:p>
    <w:p>
      <w:pPr>
        <w:spacing w:after="0" w:line="8"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clearance of product modifications that could significantly affect safety or efficacy or that would constitute a major change in intended use of one of our cleared devices;</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approval of product modifications that affect the safety or effectiveness of one of our approved devices;</w:t>
      </w:r>
    </w:p>
    <w:p>
      <w:pPr>
        <w:spacing w:after="0" w:line="8" w:lineRule="exact"/>
        <w:rPr>
          <w:rFonts w:ascii="Arial" w:cs="Arial" w:eastAsia="Arial" w:hAnsi="Arial"/>
          <w:sz w:val="18"/>
          <w:szCs w:val="18"/>
          <w:b w:val="1"/>
          <w:bCs w:val="1"/>
          <w:color w:val="auto"/>
        </w:rPr>
      </w:pPr>
    </w:p>
    <w:p>
      <w:pPr>
        <w:jc w:val="both"/>
        <w:ind w:left="660" w:right="20" w:hanging="328"/>
        <w:spacing w:after="0" w:line="250" w:lineRule="auto"/>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post-approval restrictions or conditions, including post-approval study commitments;</w:t>
      </w:r>
    </w:p>
    <w:p>
      <w:pPr>
        <w:spacing w:after="0" w:line="8"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w:t>
      </w:r>
    </w:p>
    <w:p>
      <w:pPr>
        <w:spacing w:after="0" w:line="1"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FDA’s recall authority, whereby it can ask, or under certain conditions order, device manufacturers to recall from the market a product that is in violation of governing laws and regulations;</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regulations pertaining to voluntary recalls; and</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notices of corrections or removals.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color w:val="auto"/>
        </w:rPr>
        <w:t>In respect of our products manufactured and sold in the United States, our licensees will be registered with the FDA as medical device manufacturers. The FDA has broad post-market and regulatory enforcement powers. Our licensees are subject to announced and unannounced inspections by the FDA to determine our compliance with the QSR and other regulations and these inspections may include the manufacturing facilities of our suppliers. If the FDA finds any failure to comply, the agency can institute a wide variety of enforcement actions, ranging from a public warning letter to more severe sanctions such as fines, injunctions, and civil penalties; recall or seizure of products; the issuance of public notices or warnings; operating restrictions, partial suspension or total shutdown of production; and criminal prosecution.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Advertising and promotion of medical devices,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our reputation could be damaged and adoption of the products would be impaired.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our products could be subject to voluntary recall if we or the FDA determine, for any reason, that our products pose a risk of injury or are otherwise defective. Moreover, the FDA can order a mandatory recall if there is a reasonable probability that our device would cause serious adverse health consequences or death.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State and Federal Privacy Laws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federal Health Insurance Portability and Accountability Act of 1996, as amended by the Health Information Technology for Economic and Clinical Health Act, or collectively, HIPAA, the U.S. Department of Health and Human Services (“HHS”), has issued regulations to protect the privacy and security of individually identifiable health information, also known as protected health information (“PHI”), held, used or disclosed by health care providers, such as our reference laboratory, and other covered entities.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HIPAA also regulates standardization of data content, codes and formats used in certain electronic health care transactions and standardization of identifiers for health plans and providers. HIPAA also governs patient access to laboratory test reports. Effective October 6, 2014, individuals (or their personal representatives, as applicable) have the right to access test reports directly from laboratories and to direct that copies of those reports be transmitted to persons or entities designated by the individual.</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HIPAA’s Security Rule and certain provisions of the HIPAA Privacy Rule and Breach Notification Rule apply to business associates of covered entities (i.e., entities that provide services to covered entities that may require access and use of protected health information on behalf of covered entities), and business associates are subject to direct liability for violation of these rules.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 covered entity may be subject to criminal and civil penalties as a result of a business associate violating HIPAA, if the business associate is found to be an agent of the covered entity. Covered entities must report breaches of unsecured protected health information to affected individuals without unreasonable delay and notification must also be made to the U.S. Department of Health &amp; Human Services, Office for Civil Rights (OCR) and, in certain situations involving large breaches, to the media. The OCR enforces the HIPAA Rules and performs compliance audits and investigations. In addition to enforcement by OCR, HIPAA authorizes state attorneys general to bring civil actions seeking either injunction or damages in response to HIPAA violations that impact state residents.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federal privacy regulations, there are a number of state laws governing the privacy, confidentiality and security of individually identifiable health information and other personal information that are applicable to our business. Where these state laws are stricter than the requirements imposed by HIPAA or impose different or additional requirements than HIPAA, we may be subject to additional restrictions and liability above and beyond HIPAA’s requirements.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both"/>
        <w:spacing w:after="0" w:line="254" w:lineRule="auto"/>
        <w:rPr>
          <w:sz w:val="20"/>
          <w:szCs w:val="20"/>
          <w:color w:val="auto"/>
        </w:rPr>
      </w:pPr>
      <w:r>
        <w:rPr>
          <w:rFonts w:ascii="Times New Roman" w:cs="Times New Roman" w:eastAsia="Times New Roman" w:hAnsi="Times New Roman"/>
          <w:sz w:val="18"/>
          <w:szCs w:val="18"/>
          <w:color w:val="auto"/>
        </w:rPr>
        <w:t>There are numerous other laws, regulations and legislative and regulatory initiatives at the federal and state levels addressing privacy and security of personal information. We also remain subject to federal and state privacy-related laws that may be more restrictive or contain different requirements than the privacy regulations issued under HIPAA. These laws vary and could impose additional penalties. For example, the Federal Trade Commission, or FTC, uses its consumer protection authority to initiate enforcement actions against companies relating to their use and disclosure of personally identifiable information. Specifically, FTC has asserted authority and issued enforcement actions in response to actual or perceived unfair or deceptive practices by a company in the handling of consumer information. The FTC has also pursued enforcement actions against companies for violations of its Health Breach Notification Rule and the Children’s Online Privacy Protection Act. Our use of personal information is also subject to our published privacy policies and notices.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laws governing privacy and security of health information and other personal information are rapidly changing and new laws governing privacy and security may be adopted in the future as well. We can provide no assurance that we are or will remain in compliance with diverse privacy and security requirements in all of the jurisdictions in which we do business or process personal information, or in which our patients reside, or that we will be able to keep up with the cost of complying with new or additional requirements. Failure to comply with privacy and security requirements could result in damage to our reputation, adversely affect customer or investor confidence in us and reduce the demand for our services from existing and potential customers. In addition, we could face litigation, penalties and regulatory actions including civil or criminal penalties and significant costs for compliance with new or changing requirements, all of which could generate negative publicity and which could have a materially adverse effect on our business.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HIPAA also created federal criminal statutes that prohibit, among other actions,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these statutes or specific intent to violate them in order to have committed a violation.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violation of each of these statutes is a felony and may result in fines, imprisonment or exclusion from governmental payor programs. Many states have similar statutes that may carry significant penalties.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Davion Healthcare Plc. is not part of a larger organization.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owns’ no equipment, property or office space. Required technology infrastructure, office space and equipment necessary to run our operations are provided through third party service providers. The Company has office space that is rented in Cork Ireland and Florida.</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Operating and Financial Review and Prospects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Davion Healthcare Plc is a pre-revenue company focused exclusively on the development and commercialization of non-invasive home tests for the early detection of health anomalies. Our home tests are non-diagnostic, focusing on early detection of potential health anomalies, for which if identified, further clinical tests outside of the scope of our products would be required. We have focused our unique technologies on an exceptionally affordable home-based test system. Our strength as a Company at this early stage is twofold, that we possess our own intellectual property, patents and technology; and that to date, there are no other known competitors attempting to utilize like-technologies. We intend to operate under a licensing model and currently have four non-invasive home tests completed, namely, BreastCheck, FootFlow, Testic, and ThermaDerm. Our flagship product, BreastCheck, is our first product licensed and is expected to be launched in the second half of 2026 by our sole licensee. To date, we have been largely reliant on our CEO for operational funding. Going forward we intend to rely on the cash flows generated by our licensee, third party financing sources, as well as the on-going support of our CEO.</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discussion covers the years ended December 31, 2025 and December 31, 2024 and should be read in conjunction with the consolidated financial statements and notes thereto appearing elsewhere in this Form 20-F. The financial statements have been prepared in accordance with IFRS both as issued by the International Accounting Standards Board (IASB) and as subsequently adopted by the European Union (EU) (together IFRS). Consolidated financial statements are required by Irish law to comply with IFRS as adopted by the EU which differ in certain respects from IFRS as issued by the IASB. These differences predominantly relate to the timing of adoption of new standards by the EU. However, as none of the differences are relevant in the context of Davion Healthcare Plc, the consolidated financial statements for the periods presented comply with IFRS both as issued by the IASB and as adopted by the EU.</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relied on an exemption under the SEC’s rules to prepare consolidated financial statements without a reconciliation to U.S. generally accepted accounting principles (U.S. GAAP) as at and for the two-year period ended December 31, 2025 as Davion Healthcare Plc is a foreign private issuer and the financial statements have been prepared in accordance with IFRS as issued by the IASB.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Model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have four non-invasive home tests completed, namely, BreastCheck, FootFlow, Testic, and ThermaDerm. Our flagship product, BreastCheck, will be the first product to be launched in the second half of 2026. Our products, including BreastCheck and FootFlow, use thermography to detect small but meaningful changes in skin surface temperature. Liquid crystal film placed on the skin produces color shifts in response to temperature differences, creating a simple thermal map that highlights areas of concern. By combining film-based technology with artificial intelligence analysis of smartphone images, our products deliver standardized, reliable, and easy-to-understand results. This enables early detection at home in a safe, non-invasive, and scalable way.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our current and future commercial operations is expected to be generated primarily from license fees and royalties received from our commercial partners. Our operating results may therefore fluctuate depending on the timing of license execution, the achievement of commercial milestones, and the sales performance of our licensees in the territories they serve.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the performance of our licensees and continually assess whether further investment or changes in commercialization strategy are required to enhance product market penetration. Should a licensee fail to meet its commercial or regulatory responsibilities, or should we identify an opportunity where direct commercialization may deliver greater value, we may elect to take over responsibility for sales, marketing, manufacturing, or warranty management for certain products. Any such shift could materially affect our cost structure, working capital needs, and revenue profile during the period of operational transition.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capital expenditure and operating cost forecasts therefore include the possibility of increasing internal commercialization capacity, whether through strategic hiring, investment in manufacturing or supply chain capabilities, or collaboration with additional third-party service providers to support direct sales or distribution.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Shifting From Development to Commercialization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and do not expect to do so until the second half of 2026 at the earliest. Since our inception in 2022, our focus has been on the development, research, and registration of a portfolio of innovative medical devices, which we anticipate will form the foundation of our future revenue streams. These activities have required investment in product finalization, regulatory approvals, and intellectual property protection.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expenses have costs associated with obtaining regulatory approval in key markets, including the United States, Europe, and the United Kingdom. The approval of our products in these regions represents a major milestone, positioning us for future commercial success.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Consequently, our financial performance to date reflects the nature of a pre-revenue company, with substantial outflows administrative costs necessary to bring our products to market, as well as our efforts to become a public company in 2025. Our ability to generate revenue in the future will depend on the successful commercialization of our products, especially BreastCheck, which we believe will enable us to recoup the substantial costs incurred during the development phase and drive sustainable financial performance going forward.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2025, we finalized our first global manufacturing and distribution agreement with NeuRX Health, Inc (“NeuRX”). The agreement, as amended in December 2025, provides for $120 million in staged license fee payments together with minimum annual royalties of $10 million per year over the initial ten-year term. The $120 million license fee is payable with $20 million in cash in the first year with an additional $100 million of NeuRx freely tradable shares payable in 10 equal installments over the 10 year term. Cash royalty payments are based on manufacturing and distribution volumes, subject to the minimum annual royalty. The initial term is for 10 years and Davion has an option to renew for an additional 10 year term. Under the agreement, Davion is required to provide ongoing access to our proprietary test portal. The Company may terminate the agreement if the licensee fails to make royalty and license payments when due and for other uncured breaches of contract.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Davion entered into a 1 year infrastructure, software and services agreement to complete the development of our regulatory compliant database that will house data first party data for €0.7 million. NeuRX intends to initially launch BreastCheck in the U.S. in the second half of 2026, with additional launches in international markets commencing in 2027, subject to market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entered into any additional license agreements for our three other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operating expenses in 2025 have been funded by Jack Kaye, its CEO, who owns 41% of the outstanding shares of Davion. Mr. Kaye and the related entities he controls are owed €0.9 million as of December 31, 2025, related to costs associated with funding the operating needs of the Company. See Note 21 to our consolidated financial statements for additional information regarding related party transactions. Mr. Kaye has pledged his on-going financial for the next twelve months from the issuance date of our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Business Developments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2025, the Company filed a registration statement with the United States Securities &amp; Exchange Commission to list its 25 million outstanding ordinary shares on Nasdaq’s Global Market, solely to permit its registered shareholders the ability to trade their shares in the United States. The registered shareholders may or may not, elect to sell their ordinary shares covered by the registration statement, as and to the extent they determine. The Company will receive no proceeds from the direct listing and the Company’s registration statement became effective on November 28, 2025. As such, the Company is subject to the reporting requirements under the Securities &amp; Exchange Commission as a foreign private issuer but is still awaiting clearance from Nasdaq to be listed in 2026.</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vs. December 31, 2024</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and 2024, we did not generate any revenue and incurred operating losses of €0.8 million and €1.3 million, respectively. The €0.5 million decrease in operating losses in 2025 was principally due to €1.1 million of lower executive and director compensation costs due to them waiving accrual of fees in 2025, partially offset by new higher costs for professional fees related to audit and accounting fees of €0.4 million and €0.2 of increased costs related to our infrastructure and software services agreement that began in September. As such, our expense run rate through December 31, 2025 is not indicative of our future cost structure.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effective tax rate was 0% in 2025 and 2024, respectively, as the Company has fully reserved the deferred tax assets associated with its cumulative net operating losses.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2026, the 2025 executive service agreements for our CEO, Mr. Kaye and our COO, Mr. Over. were cancelled with no amounts owing. The Company has agreed that the new 2026 executive service agreements shall be established immediately prior to, or within fourteen days following, the listing of the Company’s securities on a regulated stock exchange. Such new agreements shall: reflect the current operational and financial position of the Company as a pre-revenue entity; and provide for compensation, benefits, and incentive arrangements commensurate with those typically applicable to executives of comparable small-capitalization publicly listed companies. Additionally, fees under these agreements will not accrue until such time that the Company is listed, consistent with our CFO’s annual service agreement (~€0.1 million service fee plus stock grant) and our annual renumeration of our independent directors (~€0.7 million of cash and stock).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cost structure is expected to increase in 2026 for non-recurring fees and recurring higher operating costs as a publicly listed company. We expect to incur non-recurring fees associated with our direct listing and financial advisory fees of approximately $0.6 million in cash and non-cash fees related to the issuance of 225,000 ordinary shares on our listing date. In addition to the higher executive service fees and independent director fees noted above, we expect our recurring run rate operating costs to increase for legal, insurance, accounting, investor relations, stock compensation, technology infrastructure and compliance costs. Additionally, we will incur higher financing costs, including interest and fees related to capital advisory costs and a convertible note entered into in the first quarter of 2026. See Liquidity and Capital Resources section Future Capital Transactions &amp; Commitments for additional information. Finally, we expect to incur higher financing costs to fund future growth plans once we are listed.</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inception, we have relied exclusively on the personal financial support of our Chief Executive Officer, who has provided all of our funding to date through his private companies and to a lesser extent, share issuances in settlement of amounts owed third party service providers. At December 31, 2025 the Company had related party advances from our CEO of €0.9 million. On June 30, 2024, the Company settled advances due to our CEO and third party service providers totaling €6.5 million (see Non cash financing activities below and “</w:t>
      </w:r>
      <w:r>
        <w:rPr>
          <w:rFonts w:ascii="Times New Roman" w:cs="Times New Roman" w:eastAsia="Times New Roman" w:hAnsi="Times New Roman"/>
          <w:sz w:val="18"/>
          <w:szCs w:val="18"/>
          <w:u w:val="single" w:color="auto"/>
          <w:color w:val="0000EE"/>
        </w:rPr>
        <w:t>Related Party Transactions</w:t>
      </w:r>
      <w:r>
        <w:rPr>
          <w:rFonts w:ascii="Times New Roman" w:cs="Times New Roman" w:eastAsia="Times New Roman" w:hAnsi="Times New Roman"/>
          <w:sz w:val="18"/>
          <w:szCs w:val="18"/>
          <w:color w:val="auto"/>
        </w:rPr>
        <w:t>” section for additional information). To reduce the cash operating needs of the Company in 2025, the executive officers and the independent directors waived accrual of their 2025 compensation until such time that the Company is listed on Nasdaq.</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Through the date of filing, we have not generated any revenue and continue to operate at a loss, primarily due to ongoing product commercialization readiness and operational costs. Consequently, our liquidity has been limited, and we have been dependent on the CEO’s support to meet our working capital requirements and cover expenses. Advances by our CEO are non-interest-bearing, unsecured, and repayable only upon completion of a future capital raise and the Company is in a financial position to do so without prejudice to its ongoing operations. Monetization of the Company’s regulatory-approved product portfolio and our licensing agreement with NeuRX Health Inc. are expected to provide future revenue and cash inflows commencing in July 2026. The timing and amount of these cash flows are subject to NeuRX’s commercialization efforts and performance under the agreement and there can be no assurance that such inflows will occur as currently anticipated. Despite this risk, the Company believes as of the date of this Annual Report, that with its current capitalization, our Chief Executive Officers’ ongoing financial support, and expected future contractual inflows and the third party financing arrangements entered into during March 2026, it has sufficient financial resources to meet its obligations for at least the next 12 months. See Future Capital Transaction &amp; Commitments section below.</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 €1,058 and €11 of cash at December 31, 2025 and 2024, respectively. We are dependent on our CEO to fund our operating expenses through his on-going advances which were €0.9 million as of December 31, 2025.</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Cash Flows</w:t>
      </w:r>
    </w:p>
    <w:p>
      <w:pPr>
        <w:spacing w:after="0" w:line="20" w:lineRule="exact"/>
        <w:rPr>
          <w:sz w:val="20"/>
          <w:szCs w:val="20"/>
          <w:color w:val="auto"/>
        </w:rPr>
      </w:pPr>
      <w:r>
        <w:rPr>
          <w:sz w:val="20"/>
          <w:szCs w:val="20"/>
          <w:color w:val="auto"/>
        </w:rPr>
        <w:br w:type="column"/>
      </w:r>
    </w:p>
    <w:p>
      <w:pPr>
        <w:ind w:left="8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580" w:type="dxa"/>
            <w:vAlign w:val="bottom"/>
            <w:tcBorders>
              <w:top w:val="single" w:sz="8" w:color="auto"/>
            </w:tcBorders>
          </w:tcPr>
          <w:p>
            <w:pPr>
              <w:jc w:val="right"/>
              <w:ind w:right="570"/>
              <w:spacing w:after="0" w:line="191"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530"/>
              <w:spacing w:after="0" w:line="191"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6"/>
                <w:szCs w:val="16"/>
                <w:color w:val="auto"/>
              </w:rPr>
            </w:pPr>
          </w:p>
        </w:tc>
      </w:tr>
      <w:tr>
        <w:trPr>
          <w:trHeight w:val="234"/>
        </w:trPr>
        <w:tc>
          <w:tcPr>
            <w:tcW w:w="19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8"/>
              </w:rPr>
              <w:t>€</w:t>
            </w:r>
          </w:p>
        </w:tc>
      </w:tr>
      <w:tr>
        <w:trPr>
          <w:trHeight w:val="191"/>
        </w:trPr>
        <w:tc>
          <w:tcPr>
            <w:tcW w:w="1680" w:type="dxa"/>
            <w:vAlign w:val="bottom"/>
            <w:tcBorders>
              <w:top w:val="single" w:sz="8" w:color="auto"/>
            </w:tcBorders>
            <w:gridSpan w:val="2"/>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(323)</w:t>
            </w:r>
          </w:p>
        </w:tc>
        <w:tc>
          <w:tcPr>
            <w:tcW w:w="220" w:type="dxa"/>
            <w:vAlign w:val="bottom"/>
          </w:tcPr>
          <w:p>
            <w:pPr>
              <w:spacing w:after="0"/>
              <w:rPr>
                <w:sz w:val="16"/>
                <w:szCs w:val="16"/>
                <w:color w:val="auto"/>
              </w:rPr>
            </w:pPr>
          </w:p>
        </w:tc>
        <w:tc>
          <w:tcPr>
            <w:tcW w:w="1680" w:type="dxa"/>
            <w:vAlign w:val="bottom"/>
            <w:tcBorders>
              <w:top w:val="single" w:sz="8" w:color="auto"/>
            </w:tcBorders>
            <w:gridSpan w:val="2"/>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(668)</w:t>
            </w:r>
          </w:p>
        </w:tc>
      </w:tr>
      <w:tr>
        <w:trPr>
          <w:trHeight w:val="230"/>
        </w:trPr>
        <w:tc>
          <w:tcPr>
            <w:tcW w:w="19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1,370</w:t>
            </w:r>
          </w:p>
        </w:tc>
        <w:tc>
          <w:tcPr>
            <w:tcW w:w="22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w:t>
            </w:r>
          </w:p>
        </w:tc>
        <w:tc>
          <w:tcPr>
            <w:tcW w:w="220" w:type="dxa"/>
            <w:vAlign w:val="bottom"/>
          </w:tcPr>
          <w:p>
            <w:pPr>
              <w:spacing w:after="0"/>
              <w:rPr>
                <w:sz w:val="24"/>
                <w:szCs w:val="24"/>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w:t>
            </w:r>
          </w:p>
        </w:tc>
      </w:tr>
      <w:tr>
        <w:trPr>
          <w:trHeight w:val="20"/>
        </w:trPr>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6940" w:space="720"/>
            <w:col w:w="3580"/>
          </w:cols>
          <w:pgMar w:left="320" w:top="792"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operations during 2025 were principally due to an increase in prepaid assets for travel related advances for establishing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flow used in operating activities in 2024 was principally driven by higher VAT receivables, due to increased spending.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Cash Flows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Financing cash flows in 2025 related to cash advances by our CEO into the Company’s bank accounts, instead of making payments to Company’s vendors directly.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 cash Financing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the Company issued ordinary shares to its executive officers and third parties in satisfaction of trade and related party advances in total of €6.5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Capital Transactions &amp;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Fees &amp; Share Commitments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the Company entered into an advisory agreement in connection with its proposed Nasdaq direct listing. Under the terms of the agreement, upon the successful completion of the listing, the advisor is entitled to receive 125,000 ordinary shares of the Company and a cash fee of $200,000 plus reimbursable expenses up to $100,000. The share issuance represents a potential equity-settled share-based payment within the scope of IFRS 2 – Share-based Payment. Because the issuance of shares is contingent upon the successful completion of the listing, the performance condition has not been satisfied as of December 31, 2025, and therefore no share-based payment expense has been recognized in the accompanying consolidated financial statements. The Company will measure the transaction at the fair value of the shares issued on the listing date when the listing occurs.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2026, the Company entered into a financial advisory agreement that requires a 6% fee on future capital raising transactions and the issuance of 100,000 ordinary shares upon the Company being listing on any major U.S. exchange. The agreement has a minimum term of 120 days plus a twelve-month tail on termination related to qualifying financing arrangements.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Convertible Note Due September 2026</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10, 2026, the Company received $1,500,000 of cash related to the issuance of a $1,655,000 secured promissory note (“the Note”) that matures six months from the date of issuance, at a 9% interest rate. The Company has three options to extend the maturity date through June 2027 for an additional fee. The Note is convertible into ordinary shares at a fixed price of $12.36 per share at the holder’s option anytime. The Note may be prepaid at a premium of 115% of the outstanding balance subject to Company not being in default. The Company is required to paydown the Note with 20% of any fundraising proceeds up to the maximum amount outstanding. The Note is secured by a security interest in certain intellectual property. Additionally, the investor received 200,000 warrants subject to the following conditions: i) a term of 12 months from the effective date of the Company’s listing on Nasdaq, ii) at an exercise price of $13.00 and iii) exercisable for cash only. The Company is required to register ordinary shares sufficient to cover the full conversion of the Note at the fixed price plus the shares underlying the warrants or approximately 139,925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Term Loan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24, 2026 the Company entered into an irrevocable committed term loan facility of up to $2.0 million for a 1 year period from the date of the Company being listed on Nasdaq (“the availability period”). During the availability period, at the Company’s discretion, it can make draws at a minimum of $250,000 tranches and repay such draws within 15 months, at a rate of 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Capital Needs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Investors , while the incurrence of debt financing or convertible debt would result in debt service obligations. Such debt instruments also could introduce covenants that might restrict our operations. We may require additional capital to support business growth and objectives, including acquiring complimentary companies to our business or additional intellectual property, and this capital might not be available on acceptable terms, if at 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Licences, etc.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on research and development, patents and licences see “Item 4. </w:t>
      </w:r>
      <w:r>
        <w:rPr>
          <w:rFonts w:ascii="Times New Roman" w:cs="Times New Roman" w:eastAsia="Times New Roman" w:hAnsi="Times New Roman"/>
          <w:sz w:val="18"/>
          <w:szCs w:val="18"/>
          <w:u w:val="single" w:color="auto"/>
          <w:color w:val="0000EE"/>
        </w:rPr>
        <w:t>Information on the Company</w:t>
      </w:r>
      <w:r>
        <w:rPr>
          <w:rFonts w:ascii="Times New Roman" w:cs="Times New Roman" w:eastAsia="Times New Roman" w:hAnsi="Times New Roman"/>
          <w:sz w:val="18"/>
          <w:szCs w:val="18"/>
          <w:color w:val="auto"/>
        </w:rPr>
        <w:t xml:space="preserve">—Item 4.B </w:t>
      </w:r>
      <w:r>
        <w:rPr>
          <w:rFonts w:ascii="Times New Roman" w:cs="Times New Roman" w:eastAsia="Times New Roman" w:hAnsi="Times New Roman"/>
          <w:sz w:val="18"/>
          <w:szCs w:val="18"/>
          <w:u w:val="single" w:color="auto"/>
          <w:color w:val="0000EE"/>
        </w:rPr>
        <w:t>Business overview</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cost run rate in 2025 is not indicative of its future cost structure for 2026. Additionally, the Company is reliant on a single licensee, NeuRX, to manufacture and distribute its BreastCheck product in 2026 in order to generate revenue and future cash flow. Nonperformance by NeuRX under our agreement could have a material impact on the Company’s future business plans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additional trends, see Item 4.B—Business Overview, Item 5.A—Operating Results and Item 5.B—Liquidity and Capital Resources.</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Critical Accounting Policies and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notes requires us to make judgments, estimates and assumptions that affect the reported amounts of assets, liabilities, revenue and expenses, and related disclosure of contingent assets and liabilities. We have based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Our senior management has discussed the development, selection and disclosure of these estimates with our Board of Directors. Actual results may differ from these estimates under different assumptions or conditions.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We believe the following critical accounting policies reflect the more significant estimates and assumptions used in the preparation of our consolidated financial statements. The following descriptions of critical accounting policies, judgments and estimates should be read in conjunction with our consolidated financial statements and related notes and other disclosures included in this report.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Intellectual Property – Related Party Transaction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2023, the Company issued 12,258,458 shares to acquire intellectual property through a related party transaction for €65.0 million. Our CEO, Jack Kaye, was a shareholder and manager of Davion Healthcare Ltd. (Cyprus) and Davion Healthcare Ltd. (U.K.). Given the related party nature of the transaction, management evaluated whether the transaction represented a common control transaction. Although the CEO had an ownership interest in both entities, management concluded that such ownership does not convey control over either entity and control was not held by the same party or group before or after the transaction. Note, the CEO abstained from voting in the transaction.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determined that the transaction represented an asset acquisition rather than a business combination or a share-based payment arrangement. The Company acquired a bundle of identifiable intellectual property rights at a point in time and obtained control over those rights. The seller did not retain any obligation to perform future development activities or provide services to the Company, and the Company assumed full responsibility for completing and commercializing the technology. Management concluded that the transaction had commercial substance and the fair value was reliably measurable. Accordingly, the transaction was accounted for under IAS 38, Intangible Assets, with the acquired intellectual property recognized as an intangible asset upon acquisition.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Consideration of Share-Based Payment Accounting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the appropriate accounting framework, management considered whether the issuance of equity instruments required application of IFRS 2, Share-based Payment. Management concluded that IFRS 2 was not applicable because the transaction did not involve the receipt of goods or services in a compensatory arrangement. The equity instruments were issued as consideration for the acquisition of identifiable intellectual property rights rather than as compensation for services, and the consideration was not contingent upon future performance, vesting conditions, or ongoing involvement by the seller. This determination required significant judgment, particularly given the related-party nature of the transaction and the development status of the intellectual property at the acquisition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Measurement of Fair Value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 of the acquired intellectual property was measured at fair value at the acquisition date in accordance with IAS 38 and IAS 13. The fair value of the intellectual property was determined at the transaction date using a forward EBITDA market multiple methodology based on normalized cash flows. Such measurement is classified as a Level 3 fair value measurement due to the use of significant unobservable inputs. Significant unobservable inputs include assumptions related to forecasted revenues and EBIT margin, market risk adjusted EBIT multiple and a discount rate appropriate in the circumstance, as follows:</w:t>
      </w:r>
    </w:p>
    <w:p>
      <w:pPr>
        <w:spacing w:after="0" w:line="18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Model: forecasted 2023- 2028, utilized 3 year run rate December 2025 EBIT applied against an EBITDA multiple and discounted</w:t>
      </w:r>
    </w:p>
    <w:p>
      <w:pPr>
        <w:spacing w:after="0" w:line="26"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Projected 3 year run rate revenue of €72.6 million based on (0.44% annual market penetration of ~400m addressable U.S. and E.U. female population) or 151,375 units per year priced at €40 per unit, resulting in €30.0 million EBIT</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EBITDA Multiple: 6x: 2/3 less than 19x multiple for observed public company comparables for risk</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Discount rate (risk adjusted): 40%, given the nature of risk associated with a pre-revenue company and new product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December 2025 run rate estimated cash flow and the resulting valuation are reasonable and can be viewed as reliably estimable because the key drivers—price, unit volume, margins and multiples—sit within observable industry ranges, with the main stretch (high EBIT per unit) explicitly compensated by conservative valuation parameters through the reduced/risk adjusted EBITDA multiple and higher discount rate. Overall, management concluded that the estimated fair value was reasonable in the circumstances, for the development stage of the intellectual property and the pre-revenue nature of the Company.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measurement was performed solely to establish the transaction price at initial recognition and does not represent an ongoing fair value measurement. The intellectual property is subsequently accounted for using the cost model under IAS 38 – Intangible Assets.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auto"/>
        </w:rPr>
        <w:t>Sensitivity to Key Assumptions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key valuation assumptions, including projected cash flows, discount rates or EBITDA multiple would have an impact on the estimated fair value of the acquired intellectual property. In particular, changes in the discount rate, EBIT margin (result of reduced forecasted revenues or profitability) or EBTIDA multiple applied would impact the estimated fair value. Certain assumptions are interrelated, and changes in one assumption may magnify or offset the effect of changes in another. Changes to the key valuation assumptions utilized, as illustrated below, would produce the hypothetical following ranges of estimated fair value of the transaction:</w:t>
      </w:r>
    </w:p>
    <w:p>
      <w:pPr>
        <w:spacing w:after="0" w:line="18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3 year run rate EBIT €30M: -/+10%: (€27M = €59M, €33M =€72M)</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EBITDA multiple 6x: -/+ .05%: (5.5x = €60M, 6.5x = €71M)</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Discount rate 40%: -/+ 5%: (35% = €73M, 45% = €59M)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 Impairment of Intellectual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2025 and 2024, the Company’s indefinite-lived intangible assets of €65.0 million was a single class of acquired technology that represents its core intellectual property and is a fundamental driver of the Company’s business model, revenue generation, and long-term strategy. These assets are accounted for under the cost model and are not amortized. As a result, the annual impairment assessment of these assets involves significant management judgment and estimation and has a material impact on the Company’s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Determination of Indefinite Useful Life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conclusion that the Company’s acquired intellectual property has an indefinite useful life requires significant judgment. In making this determination, management considers the expected period over which the intellectual property is anticipated to contribute to future cash flows, the absence of contractual, legal, regulatory, or economic factors that would limit its useful life, the Company’s ability to maintain and enhance the intellectual property through ongoing development efforts, and the expected pace of technological change within the relevant markets.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currently has determined that there is no foreseeable limit to the period over which the Company’s intangible assets are expected to generate net cash inflows. This conclusion is based on:</w:t>
      </w:r>
    </w:p>
    <w:p>
      <w:pPr>
        <w:spacing w:after="0" w:line="162" w:lineRule="exact"/>
        <w:rPr>
          <w:sz w:val="20"/>
          <w:szCs w:val="20"/>
          <w:color w:val="auto"/>
        </w:rPr>
      </w:pPr>
    </w:p>
    <w:p>
      <w:pPr>
        <w:ind w:left="660" w:hanging="328"/>
        <w:spacing w:after="0" w:line="260" w:lineRule="auto"/>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platform nature of the underlying thermographic and temperature-mapping technology, which can be applied across multiple current and future product categories and medical indications;</w:t>
      </w:r>
    </w:p>
    <w:p>
      <w:pPr>
        <w:spacing w:after="0" w:line="1"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Company’s licensing-based commercialization model, which enables the technology to be monetized through successive licensing arrangements in different geographic markets and product applications; and</w:t>
      </w:r>
    </w:p>
    <w:p>
      <w:pPr>
        <w:spacing w:after="0" w:line="1" w:lineRule="exact"/>
        <w:rPr>
          <w:rFonts w:ascii="Arial" w:cs="Arial" w:eastAsia="Arial" w:hAnsi="Arial"/>
          <w:sz w:val="18"/>
          <w:szCs w:val="18"/>
          <w:b w:val="1"/>
          <w:bCs w:val="1"/>
          <w:color w:val="auto"/>
        </w:rPr>
      </w:pPr>
    </w:p>
    <w:p>
      <w:pPr>
        <w:ind w:left="660" w:hanging="328"/>
        <w:spacing w:after="0" w:line="259" w:lineRule="auto"/>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Company’s strategy of continuous research, development, and incremental patent filings, which management expects will extend the commercial relevance of the technology beyond the life of any single patent or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18"/>
          <w:szCs w:val="18"/>
          <w:color w:val="auto"/>
        </w:rPr>
        <w:t>Given the Company’s stage of development and evolving market dynamics, changes in competitive conditions, technological disruption, or regulatory developments could result in a reassessment of the asset’s useful life, which could lead to the commencement of amortization and materially affect future operating results. The Company reviews the classification of its intangible assets as having an indefinite useful life at least annually, and more frequently if events or changes in circumstances indicate that the classification may no longer be appropriate. In this regard, factors that could result in a reclassification to a finite useful life include, but are not limited to: i) significant adverse changes in regulatory requirements that restrict commercialization of products incorporating the technology; ii) the emergence of competing technologies that materially reduce the expected future economic benefits; iii) the loss or non-renewal of key licensing arrangements without suitable replacements; or iv) the expiration of patent protection without the successful development of replacement or follow-on intellectual property.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Testing Methodology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Indefinite-lived intangible assets are tested for impairment annually, and more frequently if events or changes in circumstances indicate that the assets may be impaired. For impairment testing purposes, the carrying amount of the intellectual property is allocated to the cash-generating unit (“CGU”) that is expected to benefit from the use of the asset.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recoverable amount of the CGU is determined based on value in use, which represents the present value of the future cash flows expected to be derived from the continued use of the CGU. This approach reflects management’s assessment of the economic benefits expected to be generated by the intellectual property through its use in the Company’s operations. Because the recoverable amount was determined using a value in use methodology, the impairment assessment does not represent a fair value measurement.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Assumptions and Estimation Uncertainty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value in use calculation is highly sensitive to changes in assumptions and requires management to make estimates regarding future performance that are inherently uncertain, particularly in light of the Company’s limited operating history as a public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significant assumptions include:</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size of the addressable target population and expected market adoption of our non-invasive home tests;</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anticipated pricing in the United States and international markets;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duration of patent product design;</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probability of achieving the regulatory requirements within projected development timelines; and</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forecasted revenues, costs of goods sold, and required selling and marketing expenses, in developing distribution agreements with third parties.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apply risk-adjusted discount rates to reflect uncertainties inherent in the commercialization of our products. Because these estimates are inherently subjective and based on factors outside of our control, actual results could differ materially. A change in any key assumption—such as slower-than-expected market uptake, reduced pricing, earlier-than-anticipated entry of a competing product, or delays due to regulations — could have a material impact on the carrying value of our IP and our results of operations.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flow forecasts are derived from management’s internally developed strategic plans and reflect assumptions that may differ materially from actual results.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auto"/>
        </w:rPr>
        <w:t>Sensitivity to Changes in Assumptions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intellectual property represents a significant portion of the Company’s total assets, relatively small adverse changes in key assumptions could result in the recoverable amount of the CGU falling below its carrying amount and the recognition of a material impairment charge. Such changes could include lower-than-expected revenue growth, delays in commercialization, increased competitive pressure, higher operating costs, or increases in discount rates.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not recognized an impairment loss for its indefinite-lived intangible assets to date; however, future impairments could be material and could have an adverse effect on the Company’s results of operations and financial position.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estimate of the value in use amount as of December 31, 2025 has increased since the acquisition of the acquired technology in 2023 due to regulatory registration of its products, technical milestones achieved and the signing of a 10 year $220 million global distribution agreement that supports commercial forecasts.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Losses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carrying amount of the CGU exceeds its recoverable amount, an impairment loss is recognized in profit or loss. Impairment losses recognized for indefinite-lived intangible assets are not reversed in subsequent periods.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“Risk Factors — </w:t>
      </w:r>
      <w:r>
        <w:rPr>
          <w:rFonts w:ascii="Times New Roman" w:cs="Times New Roman" w:eastAsia="Times New Roman" w:hAnsi="Times New Roman"/>
          <w:sz w:val="18"/>
          <w:szCs w:val="18"/>
          <w:i w:val="1"/>
          <w:iCs w:val="1"/>
          <w:u w:val="single" w:color="auto"/>
          <w:color w:val="0000EE"/>
        </w:rPr>
        <w:t>We may not fully recover the value of our intellectual property portfolio</w:t>
      </w:r>
      <w:r>
        <w:rPr>
          <w:rFonts w:ascii="Times New Roman" w:cs="Times New Roman" w:eastAsia="Times New Roman" w:hAnsi="Times New Roman"/>
          <w:sz w:val="18"/>
          <w:szCs w:val="18"/>
          <w:color w:val="auto"/>
        </w:rPr>
        <w:t>” for additional discussion of the uncertainties inherent in management’s estimates and the potential for such estimates to differ materially from the amounts reflected in our financial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Company is a going concern and has sufficient sources of cash to operate the Company for the next twelve months based on the combination of anticipated future cash flows from the NeuRX license agreement and the on-going financial support from Jack Kaye, the Company’s CEO and additional financings in the first quarter of 2026.</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consists of eight directors, the majority of which are independent. The following table presents information about our current executive officers and independent members of our board of directors.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3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appointed Ireland entity*</w:t>
            </w:r>
          </w:p>
        </w:tc>
      </w:tr>
      <w:tr>
        <w:trPr>
          <w:trHeight w:val="250"/>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Sir Eric Peacock</w:t>
            </w:r>
          </w:p>
        </w:tc>
        <w:tc>
          <w:tcPr>
            <w:tcW w:w="12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40" w:type="dxa"/>
            <w:vAlign w:val="bottom"/>
            <w:tcBorders>
              <w:top w:val="single" w:sz="8" w:color="CCEEFF"/>
            </w:tcBorders>
            <w:shd w:val="clear" w:color="auto" w:fill="CCEEFF"/>
          </w:tcPr>
          <w:p>
            <w:pPr>
              <w:spacing w:after="0"/>
              <w:rPr>
                <w:sz w:val="21"/>
                <w:szCs w:val="21"/>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Chairman</w:t>
            </w:r>
          </w:p>
        </w:tc>
        <w:tc>
          <w:tcPr>
            <w:tcW w:w="100" w:type="dxa"/>
            <w:vAlign w:val="bottom"/>
            <w:tcBorders>
              <w:top w:val="single" w:sz="8" w:color="CCEEFF"/>
            </w:tcBorders>
            <w:shd w:val="clear" w:color="auto" w:fill="CCEEFF"/>
          </w:tcPr>
          <w:p>
            <w:pPr>
              <w:spacing w:after="0"/>
              <w:rPr>
                <w:sz w:val="21"/>
                <w:szCs w:val="21"/>
                <w:color w:val="auto"/>
              </w:rPr>
            </w:pPr>
          </w:p>
        </w:tc>
        <w:tc>
          <w:tcPr>
            <w:tcW w:w="292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January 2025</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57"/>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Kaye</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43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c>
          <w:tcPr>
            <w:tcW w:w="2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September 2024</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57"/>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Over</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3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Commercial Officer</w:t>
            </w:r>
          </w:p>
        </w:tc>
        <w:tc>
          <w:tcPr>
            <w:tcW w:w="2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September 2024</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57"/>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Andreas Ttofi</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43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December 2025</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57"/>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Riches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3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Non-Executive Director</w:t>
            </w:r>
          </w:p>
        </w:tc>
        <w:tc>
          <w:tcPr>
            <w:tcW w:w="2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January 2025</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57"/>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M King</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3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Non-Executive Director</w:t>
            </w:r>
          </w:p>
        </w:tc>
        <w:tc>
          <w:tcPr>
            <w:tcW w:w="2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January 2025</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5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Julian F Sluyters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43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Non-Executive Director</w:t>
            </w:r>
          </w:p>
        </w:tc>
        <w:tc>
          <w:tcPr>
            <w:tcW w:w="2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January 2025</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5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Dulman</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43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Non-Executive Director</w:t>
            </w:r>
          </w:p>
        </w:tc>
        <w:tc>
          <w:tcPr>
            <w:tcW w:w="2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December 2025</w:t>
            </w:r>
          </w:p>
        </w:tc>
      </w:tr>
    </w:tbl>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*some directors were previously at various times, directors of Davion Healthcare Plc registered in Cyprus, prior to the Company being re-domiciled in Ireland. The above table refers to appointments to the board of the Irish registered Company Davion Healthcare Plc which was first registered on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September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Jack Kaye – Chief Executive Officer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over 45 years business experience across the telecom, technology and healthcare sectors, Mr. Kaye established one of the first mobile phone network resellers in the early eighties which was sold on to Hutchison Whampoa and formed part of what became the Orange mobile phone network in the UK. Mr. Kaye is also on the boards of a number of private SME companies.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He is a Serial Entrepreneur and has a history of developing a number of successful businesses, many from a start-up position, and has held Executive positions including that of CEO, on the boards of a number of Private and Publicly Quoted Companies in both Europe and North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is engaged as CEO of the Company under a service contract dated January 1, 2024.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Sir Eric Peacock – Chairman (Non-Executive)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Sir Eric Peacock is the Chairman of IPro Sport Holdings Ltd (hydration drinks), Buckley Jewelry Ltd, Stevenage Packaging Ltd, Kingfisher Beer Europe Ltd and is the Senior Non-Executive Director of Bango Plc.</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 was formerly a Non-Executive Director at the government business United Kingdom Export Finance and has previously sat on a number of other government boards namely United Kingdom Trade and Investment, Foreign and Commonwealth Office and the Department for Innovation and Skills.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 has a wide ranging experience of start up’s, turnarounds, financing, acquiring, disposal and floatation with a significant international background having run businesses in Australia, New Zealand, South Africa, France and Ireland. Sir Eric was knighted in 2003 for his services to International Trade.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 is also Chairman of the charity The Big Cat Sanctuary and the charities Uniqueness and The AB Trust both of which focus on disadvantaged children and young adults.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Over – Chief Commercial Officer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David has over 30 years of extensive international leadership serving at the C-Level for a variety of British and American companies. He has helped them transform and align their strategies, marketing, products, people and systems to accelerate breakthrough growth. He has held leadership positions as CEO, COO and CMO.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a solid track record of success leading financial growth, digital transformations, operational change, building start-ups within global businesses, and rapidly developing businesses. David has been actively involved in development and funding of a number of public and private companies in the UK and USA.</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Providing executive leadership across major business areas: Operations, Strategy, M&amp;A, Marketing, Sales, Partnerships &amp; Alliances across a variety of B2B and B2C sectors, including digital marketing, magazine publishing, fintech and environmental energy.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Andreas Ttofi – Chief Financial Officer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Andreas Ttofi is a fully qualified ACCA Member and accomplished accountant with more than a decade of professional experience spanning audit, financial reporting, tax compliance, and operational finance. Since 2012, he has delivered high-level accounting and advisory services to a broad portfolio of corporate and private clients across multiple industries, earning a reputation for technical precision, regulatory integrity, and dependable execution.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Andreas has extensive expertise in statutory accounts preparation, audit oversight, Capital Gains Tax analysis, and self-assessment compliance. His background also includes significant responsibility for payroll administration, staff remuneration, tax submissions, and the management and safeguarding of corporate funds. His approach is characterized by meticulous attention to detail, strong governance discipline, and adherence to the highest standards of professional ethics.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He is committed to continuous professional development and maintains up-to-date proficiency in evolving accounting standards, financial regulations, and best-practice corporate reporting frameworks.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Chief Financial Officer, Andreas brings a strong blend of analytical capability, operational leadership, and regulatory compliance expertise, ensuring robust financial stewardship and contributing to the long-term growth, transparency, and stability of the organization.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Kevin Riches – Non-Executive Director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Kevin has a background in starting, building and selling companies, in sectors ranging from technology re-manufacture and sales and mobile communication. He has a specialty in supporting and growing established businesses.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 has worked within management teams to help define and develop strategy and to bring new clients as a part of the growth and diversification strategy.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businesses outside of Davion include The Big Issue Group, The Big Exchange and Adalta International.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Susan M King – Non-Executive Director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King is a Board Director, private investor, senior executive and advocate. She is a financial services executive with extensive experience in global asset management and investment banking.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King serves on several corporate and non-profit boards. She is an active investor in early-stage companies directly through her membership in Golden Seeds.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King earned a B.A. in Economics cum laude from Claremont McKenna College. She is based in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Julian F. Sluyters – Non-Executive Director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Julian F. Sluyters has been in the financial services industry his entire career. He spent the first 10 years of his career in public accounting, where his primary industry focus was banks and asset management firms, and the mutual funds which they sponsored. For the past 30 years, Mr. Sluyters has served in various capacities working for several asset management firms. His roles have been varied. These include the CEO of a global mutual fund firm, CEO of a major European fund services company, and several asset management COO roles based in the United States. In connection with these roles, he has also served as the Chief Financial Officer of a large mutual fund complex, and the CEO and President for several fund complexes, both in the United States and Europe. He has a BS degree in accounting and finance from Lehigh University, Pennsylvania, USA. Mr. Sluyters is a certified public accountant (inactive) in the State of New York, USA.</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Julian brings an unparalleled amount of Board experience, serving as the CEO for over 20 different mutual funds boards (in the US and Europe), as well as serving as an interested Trustee for over five different US and EU boards. Mr. Sluyters has been dealing with corporate boards for practically his entire professional career, which started in 1982. He also qualifies as an audit committee financial expert. Mr. Sluyters has a wealth of private equity and alternative asset class experience and currently serves on the advisory Board of EQX Biome, a New York-based biodiversity impact company focused on the mission of mobilizing financial markets towards protecting the world’s remaining biodiversity. He is based in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 Dulman – Non-Executive Director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Jan Dulman is a seasoned Certified Public Accountant (CPA) and Chief Financial Officer (CFO) with a rich professional journey marked by dynamic growth and impactful leadership.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Kicking off his career in the financial hub of Stamford, CT, Jan embarked on his professional journey at a small public accounting firm. It was here that he honed his expertise, laying down the foundational skills that would pave the way for his future success. He joined a public gold and mining exploration company as the Controller in 2005, became the CFO in 2007 and serves an outsourced CFO role on a limited basis to this day.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8"/>
          <w:szCs w:val="18"/>
          <w:color w:val="auto"/>
        </w:rPr>
        <w:t>In 2010, Jan took a bold step forward by founding a new CPA partnership that reflected his diverse skill set and comprehensive background in finance. Building on this momentum, Jan orchestrated a strategic merger in 2015, integrating his firm into a prominent national practice. In his role as a Partner and leader within this organization, Jan spearheaded the development and support of the firm’s Attest Services division. Jan recognized the potential for expansion into specialized areas of financial services, and under his guidance, later developed and managed national SEC and Broker Dealer practice.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his career, Jan has been intimately involved in numerous high-stakes projects, including the management of registration statements. Notably, he played a pivotal role in overseeing one of the largest Regulation A filings in history, demonstrating his ability to navigate complex regulatory landscapes with finesse and precision.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the executive officers or independent directors named above.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aware of any other arrangements or understandings with major Investors , customers, suppliers or others, pursuant to which any person referred to above was selected as a director.</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independent and executive directors both have chosen to freeze and waive their respective service fees, until such time that the Company’s ordinary shares are listed on Nasdaq. As such, there were no service fees incurred in 2025, €0, or any other related renumeration owed to the board of directors. Additionally, Mr. Kaye’s and Mr. Over’s 2025 service agreements, detailed below, were cancelled on January 1, 2026. Mr. Kaye and Mr. Over have agreed that the new Service Agreements shall be established immediately prior to, or within fourteen days following, the listing of the Company’s securities on a regulated stock exchange. Such new agreement shall: reflect the current operational and financial position of the Company as a pre-revenue entity; and provide for compensation, benefits, and incentive arrangements commensurate with those typically applicable to executives of comparable small-capitalization publicly listed companies.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CFO’s service agreement was entered into in December 2025 and does not accrue any costs until such time that the Company’s ordinary shares are listed.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Jack Kaye — Chief Executive Officer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Kaye is party to a rolling service agreement with the Company that may be terminated by either party upon 12 months’ written notice. Mr. Kaye is entitled to a base salary of €150,000 per calendar month and reimbursement of reasonable expenses incurred in the performance of his duties. The agreement does not currently provide for any bonus, incentive compensation, or severance benefits beyond continued salary and benefits during the applicable notice period. This agreement was cancelled on January 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Over — Chief Commercial Officer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Over is party to a rolling service agreement with the Company that may be terminated by either party upon three months’ written notice. Mr. Over is entitled to a base salary of €100,000 per calendar month and reimbursement of reasonable expenses incurred in the performance of his duties. The agreement does not currently provide for any bonus, incentive compensation, or severance benefits beyond continued salary and benefits during the applicable notice period. This agreement was cancelled on January 1, 2026.</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Andreas Ttofi — Chief Financial Officer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Ttofi is party to a rolling service agreement with the Company that commences on the first day of listing, and which may be terminated by either party upon three months’ written notice. Mr. Ttofi is entitled to a base salary of €10,000 per calendar month and reimbursement of reasonable expenses incurred in the performance of his duties. The agreement does not currently provide for any bonus, incentive compensation, or severance benefits beyond continued salary and benefits during the applicable notice period.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five non-executive Directors whose remuneration will commence on listing of the Company’s Ordinary Shares and will receive a combined annual income of approximately €700,000 (50% in cash and 50% in shares).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monies have been set aside or accrued to provide pension, retirement or other similar benefits to any of our executive officers and non-executive directors.</w:t>
      </w:r>
    </w:p>
    <w:p>
      <w:pPr>
        <w:spacing w:after="0" w:line="158" w:lineRule="exact"/>
        <w:rPr>
          <w:sz w:val="20"/>
          <w:szCs w:val="20"/>
          <w:color w:val="auto"/>
        </w:rPr>
      </w:pPr>
    </w:p>
    <w:p>
      <w:pPr>
        <w:ind w:right="9680" w:firstLine="8"/>
        <w:spacing w:after="0" w:line="503" w:lineRule="auto"/>
        <w:tabs>
          <w:tab w:leader="none" w:pos="32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 Board of Directors</w:t>
      </w: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consists of eight directors, the majority of which are independent. The board consists of three executive directors, Jack Kaye as CEO, Andreas Ttofi as Chief Financial Officer, and David Over as Chief Commercial Officer, with five independent non-executive directors, Sir Eric Peacock, Kevin Riches, Susan King, Julian Sluyters and Jan Dulman. A director is not required to hold any shares in our Company by way of qualification. A director may vote with respect to any contract, proposed contract or arrangement in which he is materially interested provided (a) such director, if his interest in such contract or arrangement is material, has declared the nature of his interest at the earliest meeting of the board at which it is practicable for him to do so, either specifically or by way of a general notice and (b) if such contract or arrangement is a transaction with a related party, such transaction has been approved by the audit committee. The directors may exercise all the powers of the Company to borrow money, mortgage its undertaking, property and uncalled capital, and issue debentures or other securities whenever money is borrowed or as security for any obligation of the Company or of any third party. None of our non-executive directors has a service contract with us that provides for benefits upon termination of service.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established three committees under the board of directors immediately upon the effectiveness of our registration statement on Form F-1 in November: an audit committee, a compensation committee and a nominating and corporate governance committee. We adopted a charter for each of the three committees. Each committee’s functions are described below.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(comprising of Jan Dulman, Sir Eric Peacock, Susan M King and Julian F Sluyters) will oversee our accounting and financial reporting processes and the audits of the financial statements of our Company. The audit committee will be responsible for, among other things:</w:t>
      </w:r>
    </w:p>
    <w:p>
      <w:pPr>
        <w:spacing w:after="0" w:line="162" w:lineRule="exact"/>
        <w:rPr>
          <w:sz w:val="20"/>
          <w:szCs w:val="20"/>
          <w:color w:val="auto"/>
        </w:rPr>
      </w:pPr>
    </w:p>
    <w:p>
      <w:pPr>
        <w:ind w:left="660" w:hanging="328"/>
        <w:spacing w:after="0" w:line="281"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discussing the annual Reviewed financial statements with management and the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ind w:left="660" w:right="20" w:hanging="328"/>
        <w:spacing w:after="0" w:line="281"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(comprising Julian Sluyters, Kevin Riches and Sir Eric Peacock)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176" w:lineRule="exact"/>
        <w:rPr>
          <w:sz w:val="20"/>
          <w:szCs w:val="20"/>
          <w:color w:val="auto"/>
        </w:rPr>
      </w:pPr>
    </w:p>
    <w:p>
      <w:pPr>
        <w:ind w:left="660" w:hanging="328"/>
        <w:spacing w:after="0" w:line="281" w:lineRule="auto"/>
        <w:tabs>
          <w:tab w:leader="none" w:pos="66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and approving, or recommending to the board for its approval, compensation for our chief executive officer and other executive officers;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(comprising of Sir Eric Peacock, Susan M King and Kevin Riches), will assist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17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selecting and recommending to the board nominees for election by the Investors or appointment by the board;</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224"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advising the board periodically regarding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Ireland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exercise the care, diligence and skills that a reasonably prudent person would exercise in comparable circumstances.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9" w:name="page50"/>
    <w:bookmarkEnd w:id="49"/>
    <w:p>
      <w:pPr>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16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convening Investors’ annual and extraordinary general meetings and reporting its work to Investors at such meetings;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declaring dividends and distributions;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approving the transfer of Ordinary Shares in our Company, including the registration of such shares in our share register.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of directors. Our directors are not subject to a term of office and hold office until such time as they are removed from office by ordinary resolution of the shareholders or by the board. A director will be removed from office automatically if, among other things, the director (i) becomes bankrupt or makes any arrangement or composition with his creditors; or (ii) is found by our Company to be or becomes of unsound mind.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and Indemnification Agreements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service agreements with each of our three executive officers, Jack Kaye, Andreas Ttofi, and David Over. See section B. Compensation for additional information.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In such case of termination by us, we will provide severance payments to the executive officer as expressly required by applicable law of the jurisdiction where the executive officer is based.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w:t>
      </w:r>
    </w:p>
    <w:p>
      <w:pPr>
        <w:spacing w:after="0" w:line="3" w:lineRule="exact"/>
        <w:rPr>
          <w:sz w:val="20"/>
          <w:szCs w:val="20"/>
          <w:color w:val="auto"/>
        </w:rPr>
      </w:pPr>
    </w:p>
    <w:p>
      <w:pPr>
        <w:ind w:firstLine="8"/>
        <w:spacing w:after="0" w:line="260" w:lineRule="auto"/>
        <w:tabs>
          <w:tab w:leader="none" w:pos="34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directly or indirectly, to solicit the services of any of our employees who is employed by us on or after the date of the executive officer’s termination, or in the year preceding such termination, without our express consent.</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we are a foreign private issuer, it is not required to comply with all of the corporate governance requirements set forth in NASDAQ Rule 5600 as they apply to U.S. domestic companies.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 and Limitations of Liability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exceptions, the Companies Act 2014 of Ireland, (the “Companies Act 2014”) does not permit a company to exempt a director or certain officers from, or indemnify a director against, liability in connection with any negligence, default, breach of duty or breach of trust by a director in relation to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exceptions allow a company to: (a) purchase and maintain directors and officers insurance against any liability attaching in connection with any negligence, default, breach of duty or breach of trust owed to the company; and (b) indemnify a director or such other officer against any liability incurred in defending proceedings, whether civil or criminal, (i) in which judgment is given in his or her favor or in which he or she is acquitted or (ii) in respect of which an Irish Court grants him or her relief from any such liability on the grounds that he or she acted honestly and reasonably and that, having regard to all the circumstances of the case, he or she ought fairly to be excused for the wrong concerned.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Articles includes a provision which, subject to the provisions of the Companies Act 2014 as aforesaid, entitles every present and former director and other officer of the Company to be indemnified out of the assets of the Company (other than any person (whether an officer or not) engaged by the Company as auditor) against any loss or liability incurred by him or her for negligence, default, breach of duty or breach of trust in relation to the affairs of the Company or otherwise incurred by him or her in the execution and discharge of his or her duties to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Companies Act 2014 and the Articles, the Company may purchase and maintain directors’ and officers’ liability insurance, at the expense of the Company, for the benefit any of its present and former Directors and other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we had no full-time or part time employees. Management functions, including our executive officers, are contracted as service providers.</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Share Ownership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our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as of March 28, 2026, regarding the beneficial ownership by each of our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38"/>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 Held (1)</w:t>
            </w:r>
          </w:p>
        </w:tc>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Ownership (2)</w:t>
            </w:r>
          </w:p>
        </w:tc>
      </w:tr>
      <w:tr>
        <w:trPr>
          <w:trHeight w:val="210"/>
        </w:trPr>
        <w:tc>
          <w:tcPr>
            <w:tcW w:w="7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Sir Eric Peacock</w:t>
            </w: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Kaye</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10,268,948</w:t>
            </w: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41.07%</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Over</w:t>
            </w: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1,217,000</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Riches</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Julian F Sluyters</w:t>
            </w: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King</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Dulman</w:t>
            </w: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0.04%</w:t>
            </w:r>
          </w:p>
        </w:tc>
      </w:tr>
      <w:tr>
        <w:trPr>
          <w:trHeight w:val="23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Andreas Ttofi</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Nil</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jc w:val="both"/>
        <w:ind w:left="380" w:hanging="372"/>
        <w:spacing w:after="0" w:line="255"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Ordinary Shares relating to options currently exercisable or exercisable within 60 days of the date of this table are deemed outstanding for computing the percentage of the person holding such securities but are not deemed outstanding for computing the percentage of any other person. Share options that have a performance condition related to the share price of the equity of the Company are deemed to be exercisable irrespective of whether the performance condition has been, or is expected to be, satisfied within 60 days of the date of this table. Except as indicated by footnote, and subject to community property laws where applicable, the persons named in the table above have sole voting and investment power with respect to all shares shown as beneficially owned by them.</w:t>
      </w:r>
    </w:p>
    <w:p>
      <w:pPr>
        <w:spacing w:after="0" w:line="18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shown are based on 25,000,000 ordinary shares outstanding.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Major Shareholders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28, 2026, there were 25,000,000 Ordinary shares outstanding. Such total excludes 225,000 Ordinary shares issuable upon the Company being listed on Nasdaq and 139,925 Ordinary shares issuable upon the exercise of outstanding warrants issued in March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ordinary shares, as of March 28, 2026, by each person who we believe beneficially owns 5% or more of our outstanding ordinary shares and all of our directors and our affiliates as a group. Except as otherwise noted, all of the persons and groups shown below have sole voting and investment power with respect to the shares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with 5% or more of the issued share capital.</w:t>
            </w: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2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 Held (1)</w:t>
            </w:r>
          </w:p>
        </w:tc>
        <w:tc>
          <w:tcPr>
            <w:tcW w:w="34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Percentage (2)</w:t>
            </w:r>
          </w:p>
        </w:tc>
        <w:tc>
          <w:tcPr>
            <w:tcW w:w="160" w:type="dxa"/>
            <w:vAlign w:val="bottom"/>
            <w:tcBorders>
              <w:bottom w:val="single" w:sz="8" w:color="CCEEFF"/>
            </w:tcBorders>
          </w:tcPr>
          <w:p>
            <w:pPr>
              <w:spacing w:after="0"/>
              <w:rPr>
                <w:sz w:val="24"/>
                <w:szCs w:val="24"/>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Rallinson Ltd.*</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97"/>
              </w:rPr>
              <w:t>Direct</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3,860,530</w:t>
            </w:r>
          </w:p>
        </w:tc>
        <w:tc>
          <w:tcPr>
            <w:tcW w:w="3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15.44%</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Rallinson Corp.*</w:t>
            </w:r>
          </w:p>
        </w:tc>
        <w:tc>
          <w:tcPr>
            <w:tcW w:w="18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Direct</w:t>
            </w: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1,245,000</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Kaye, CEO*</w:t>
            </w:r>
          </w:p>
        </w:tc>
        <w:tc>
          <w:tcPr>
            <w:tcW w:w="18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Direct</w:t>
            </w:r>
          </w:p>
        </w:tc>
        <w:tc>
          <w:tcPr>
            <w:tcW w:w="1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5,163,418</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20.65%</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Affiliates &amp; directors as a group** (1)</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11,520,948</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beneficial owner of both Rallinson Ltd. and Rallinson Corp. is Mr. Jack Kaye. Collectively, Jack Kaye’s combined shareholding in the Company amounts to 10,268,948 ordinary shares held, which is 41.07% of the issued share capital.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Amounts is inclusive of Mr. Kaye’s 41.07% shares under common control.</w:t>
      </w:r>
    </w:p>
    <w:p>
      <w:pPr>
        <w:spacing w:after="0" w:line="225" w:lineRule="exact"/>
        <w:rPr>
          <w:sz w:val="20"/>
          <w:szCs w:val="20"/>
          <w:color w:val="auto"/>
        </w:rPr>
      </w:pPr>
    </w:p>
    <w:p>
      <w:pPr>
        <w:jc w:val="both"/>
        <w:ind w:left="380" w:hanging="372"/>
        <w:spacing w:after="0" w:line="255"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Ordinary Shares relating to options currently exercisable or exercisable within 60 days of the date of this table are deemed outstanding for computing the percentage of the person holding such securities but are not deemed outstanding for computing the percentage of any other person. Share options that have a performance condition related to the share price of the equity of the Company are deemed to be exercisable irrespective of whether the performance condition has been, or is expected to be, satisfied within 60 days of the date of this table. Except as indicated by footnote, and subject to community property laws where applicable, the persons named in the table above have sole voting and investment power with respect to all shares shown as beneficially owned by them.</w:t>
      </w:r>
    </w:p>
    <w:p>
      <w:pPr>
        <w:spacing w:after="0" w:line="18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shown are based on 25,000,000 ordinary shares outstanding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Changes in the Ownership of Major Shareholders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30, 2024, advances to the Company by Jack Kaye amounting to €4.6 million were converted into 491,979 shares at a conversion rate equivalent to one ordinary share for every $10 (Euro conversion equivalent to) owed.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Shareholders Voting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major shareholders do not have different voting rights.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2" w:name="page53"/>
    <w:bookmarkEnd w:id="52"/>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from related parties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single largest shareholder, Jack Kaye our CEO, controls 41% of the ordinary shares of Company and is the sole provider of operational funding. At December 31, 2025, and 2024, Mr. Kaye was owed advances of €907,671 and €30,804, respectively, through companies that he controls, including Malbrite Limited, Rallinson Corporation and Davion Healthcare Corporation. Mr. Kaye has pledged his financial support that is necessary for 12 months from the date of issuance of these financial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2024, advances to the Company by Jack Kaye amounting to €4.6 million and €1.0 million in fees due David Paul Alexander Over, a director of Davion Healthcare Plc, were converted into 598,246 shares at a conversion rate equivalent to one ordinary share for every $10 (Euro conversion equivalent to) owed.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of key management personnel</w:t>
      </w:r>
    </w:p>
    <w:p>
      <w:pPr>
        <w:spacing w:after="0" w:line="2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2025, the Chief Executive Officer, Jack Kaye and the Chief Commercial Officer, David Paul Alexander (“the Executive Directors), entered into service agreements with the Company in exchange for annual renumeration of €1,800,000 and €1,200,000, respectively including other executive level benefits. In March of 2025, the Executive Directors agreed to freeze their service contracts without any accrual being credited, until such time the Company is listed on a public exchange. In January 2026, these service agreements were cancelled with no fees owing through December 31, 2025. The parties have agreed that new Service Agreements shall be established immediately prior to, or within fourteen days following, the listing of the Company’s securities on a regulated stock exchange. Such new agreement shall: reflect the current operational and financial position of the Company as a pre-revenue entity; and provide for compensation, benefits, and incentive arrangements commensurate with those typically applicable to executives of comparable small-capitalisation publicly listed companies.</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December 2025 Andreas Ttofi, was appointed as the Company’s Chief Financial Officer and an Executive Director on the Board. Mr. Ttofi’s service agreement provides for a monthly salary of €10,000 plus other benefits, which will begin to accrue upon the Company being listed on Nasdaq.</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2025 the Company added four additional independent directors and in December added one additional independent director to the Board of Directors. The independent directors have agreed to have their compensation frozen without any accrual being credited in 2025 and until such time that the Company is listed on a public exchange, at which time their renumeration will commence.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 incurred €400,000 with regards to director fees by David Paul Alexander Over, a director of Davion Healthcare Plc. and €600,000 with regards to service fees by Jack Kaye, a director of Davion Healthcare Plc.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 Agreements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entered into customary agreements with each of our current directors and executive officers to indemnify them to the fullest extent permitted by law, subject to limited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Person Transaction Policy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an interested party transaction policy, which governs the identification, reporting and approval of transactions with interested parties.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Information</w:t>
      </w:r>
    </w:p>
    <w:p>
      <w:pPr>
        <w:spacing w:after="0" w:line="225" w:lineRule="exact"/>
        <w:rPr>
          <w:sz w:val="20"/>
          <w:szCs w:val="20"/>
          <w:color w:val="auto"/>
        </w:rPr>
      </w:pPr>
    </w:p>
    <w:p>
      <w:pPr>
        <w:ind w:right="6420" w:firstLine="8"/>
        <w:spacing w:after="0" w:line="502" w:lineRule="auto"/>
        <w:tabs>
          <w:tab w:leader="none" w:pos="32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 Consolidated Financial Statements</w:t>
      </w:r>
    </w:p>
    <w:p>
      <w:pPr>
        <w:spacing w:after="0"/>
        <w:rPr>
          <w:sz w:val="20"/>
          <w:szCs w:val="20"/>
          <w:color w:val="auto"/>
        </w:rPr>
      </w:pPr>
      <w:r>
        <w:rPr>
          <w:rFonts w:ascii="Times New Roman" w:cs="Times New Roman" w:eastAsia="Times New Roman" w:hAnsi="Times New Roman"/>
          <w:sz w:val="18"/>
          <w:szCs w:val="18"/>
          <w:color w:val="auto"/>
        </w:rPr>
        <w:t>See Item 18. “</w:t>
      </w:r>
      <w:r>
        <w:rPr>
          <w:rFonts w:ascii="Times New Roman" w:cs="Times New Roman" w:eastAsia="Times New Roman" w:hAnsi="Times New Roman"/>
          <w:sz w:val="18"/>
          <w:szCs w:val="18"/>
          <w:i w:val="1"/>
          <w:iCs w:val="1"/>
          <w:u w:val="single" w:color="auto"/>
          <w:color w:val="0000EE"/>
        </w:rPr>
        <w:t>Financial Statements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 other than as disclosed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not paid a cash dividend on our ordinary shares and do not intend to pay cash dividends in the foreseeable future. The payment of dividends will be at the discretion of our board of directors, subject to certain requirements of Ireland law. In addition, our Investors may by ordinary resolution declare a dividend, but no dividend may exceed the amount recommended by our board of directors. In either case, all dividends are subject to certain restrictions under Ireland law, namely that our Company may only pay dividends out of profits or share premium,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Significant Changes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disclosed in this Annual Report, no significant change has occurred since December 31, 2024.</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Dilution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i w:val="1"/>
          <w:i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Memorandum and Articles of Association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our Articles are filed as Exhibit 3.1 to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Law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Davion Healthcare Plc’s is incorporated in Ireland and is registered as a private Company limited by shares under the Companies Act 2014. Pursuant to Irish law, Davion Healthcare Plc must maintain a register of its members. This register is open to inspection by members free of charge and to any individual on the payment of a small fee. The books containing the minutes of proceedings of the general meetings of Davion Healthcare Plc are required to be kept in Ireland and are kept at the registered office of the Company and are open to the inspection of any member without charge. Minutes of meetings of the board of directors are not open to scrutiny by shareholders. Davion Healthcare Plc is also obliged to keep proper accounting records. Shareholders have no statutory right to inspect the accounting records of the Company . The only financial records, which are open to the members, are the statutory financial statements, which are sent to members together with the Annual Report. Irish law also obliges Davion Healthcare Plc to file information regarding certain events relating to the Company (such as changes to share rights, changes to the board of directors etc). This information is filed with the Companies Registration Office in Ireland and is open to public inspection. The Companies Act 2014 permits members to approve corporate matters in writing provided that the relevant resolution is signed by all the members for the time being entitled to vote and attend at general meeting. A general meeting can be convened by members which hold not less than 50 per cent of the paid up share capital of the Company carrying the right of voting at general meetings of the Company . In addition, the directors of the Company are required to convene a general meeting forthwith upon the deposit of a requisition signed by members holding not less than one-tenth of the paid up capital of the Company carrying the right of voting at general meetings of the Company. Davion Healthcare Plc is generally permitted, subject to Irish company law, to issue shares with preferential rights, including preferential rights as to voting, dividends or rights to a return of capital on a winding up of the Company . Any member who complains that the affairs of the Company are being conducted or that the powers of the directors of the Company are being exercised in a manner oppressive to them or any of the members (including themselves), or in disregard of their interests as members, may apply to the Irish Courts for relief. Shareholders have no right to maintain proceedings in respect of wrongs done to the Company.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5" w:name="page56"/>
    <w:bookmarkEnd w:id="55"/>
    <w:p>
      <w:pPr>
        <w:jc w:val="both"/>
        <w:spacing w:after="0" w:line="252" w:lineRule="auto"/>
        <w:rPr>
          <w:sz w:val="20"/>
          <w:szCs w:val="20"/>
          <w:color w:val="auto"/>
        </w:rPr>
      </w:pPr>
      <w:r>
        <w:rPr>
          <w:rFonts w:ascii="Times New Roman" w:cs="Times New Roman" w:eastAsia="Times New Roman" w:hAnsi="Times New Roman"/>
          <w:sz w:val="18"/>
          <w:szCs w:val="18"/>
          <w:color w:val="auto"/>
        </w:rPr>
        <w:t>Directors have extensive and wide–ranging duties under Irish law. These arise from both common law and statute (principally the Companies Act 2014, which codified a number of key fiduciary duties). Our directors owe their duties individually and primarily to Davion Healthcare Plc and not its shareholders (although there is a requirement that directors consider the interests of employees in addition to those of the Company). Additionally, directors will also need to have regard to the interests of creditors, where a director believes, or has reasonable cause to believe, that a company is, or is likely to be, unable to pay its debts, or becomes aware of the company’s insolvency. All of the directors have equal and overall responsibility for the management of the Company (although directors who also serve as employees will have additional responsibilities and duties arising under their employment agreements and may be expected to exercise a greater degree of skill and diligence than non-executive directors). Those duties include duties to act in good faith in the interests of Davion Healthcare Plc, act honestly and responsibly in the conduct of the Company’s affairs, act in accordance with the Company’s Constitution and exercise their powers only for purposes allowed by law, not use the Company’s property for their own or a third party’s, benefit (unless duly authorised), not agree to restrict their power to exercise an independent judgment (subject to limited exceptions) and avoid conflicts of interests (unless they are properly released). A director must exercise the care, skill and diligence which would be exercised in the same circumstances by a reasonable person having the knowledge and experience that (a) may reasonably be expected of a person in the same position as the director and (b) which that particular director has. Other statutory duties include ensuring the maintenance of proper books of account, having annual accounts prepared, having an annual audit performed, maintaining certain registers and making certain filings as well as the disclosure of personal interests. When directors, as agents in transactions, make contracts on behalf of the Company, they generally incur no personal liability under these contracts. It is Davion Healthcare Plc, as principal, which will be liable under them, as long as the directors have acted within Davion Healthcare Plc’s objects and within their own authority. A director who commits a breach of their duties shall be liable to Davion Healthcare Plc for any profit made by them or for any damage suffered by Davion Healthcare Plc as a result of the breach. In addition to the above, a breach by a director of their duties may (where relevant) lead to the summary dismissal of the director, civil or criminal sanction from a Court, including penalties or imprisonment, and/or the imposition of orders restricting or disqualifying the director from acting as a director.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contracts entered into in the ordinary course of business, the following represents the material contracts entered into by the Issuer: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the Company entered into an advisory agreement with Revere Securities LLC in connection with its proposed Nasdaq direct listing. Under the terms of the agreement, upon the successful completion of the direct listing the advisor is entitled to receive 125,000 ordinary shares of the Company and a cash fee of $200,000 plus reimbursable expenses up to $100,000.</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CEO, Jack Kaye, has provided financing to the Company since inception through Related party advances. Such advances have been partially settled through the issuance of ordinary shares in June 2024. At December 31, 2025, the outstanding balance is At December 31, 2025, and 2024, Mr. Kaye was owed advances of €907,671 and €30,804, respectively, through companies that he controls, including Malbrite Limited, Rallinson Corporation and Davion Healthcare Corporation. Advances by our CEO are non-interest-bearing, unsecured, and repayable only upon completion of a future capital raise and the Company is in a financial position to do so without prejudice to its ongoing operations. Mr. Kaye has pledged his financial support that is necessary for 12 months from the date of issuance of these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indicated below, there are no restrictions on non-residents of Ireland dealing in Irish securities (including shares of Irish companies such as the Company). Dividends and redemption proceeds also continue to be freely transferable to non-resident holders of such securities.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EU Member State, EU Council Regulations which implement EU and UN sanctions decisions automatically have direct effect in Irish law once they enter into force at EU level. Ireland does not currently operate an autonomous sanctions policy which departs from EU and UN sanctions decisions. At present EU Council Regulations prohibit financial transfers involving a number of persons, entities and bodies, which are subject to amendment on an ongoing, regular basis and currently include, but are not limited to: certain persons and activities in Afghanistan, Belarus, Bosnia &amp; Herzegovina, Burundi, the Central African Republic, Democratic Republic of Congo, the Republic of Guinea, the Republic of Guinea-Bissau, Haiti, the Democratic People’s Republic of Korea, Egypt, Eritrea, Iran, Iraq, Lebanon, Libya, Myanmar/Burma, Nicaragua, Russia, Syria, Somalia, South Sudan, Sudan, Tunisia, Turkey, Ukraine, Venezuela, Yemen, and Zimbabwe without the prior permission of the Central Bank of Ireland.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6" w:name="page57"/>
    <w:bookmarkEnd w:id="56"/>
    <w:p>
      <w:pPr>
        <w:jc w:val="both"/>
        <w:spacing w:after="0" w:line="258" w:lineRule="auto"/>
        <w:rPr>
          <w:sz w:val="20"/>
          <w:szCs w:val="20"/>
          <w:color w:val="auto"/>
        </w:rPr>
      </w:pPr>
      <w:r>
        <w:rPr>
          <w:rFonts w:ascii="Times New Roman" w:cs="Times New Roman" w:eastAsia="Times New Roman" w:hAnsi="Times New Roman"/>
          <w:sz w:val="18"/>
          <w:szCs w:val="18"/>
          <w:color w:val="auto"/>
        </w:rPr>
        <w:t>Under the Financial Transfers Act 1992 (the “1992 Act”), the Minister for Finance of Ireland may make provision for the restriction of financial transfers between Ireland and other countries. Financial transfers are broadly defined the acquisition or the disposal of Ordinary Shares, which represent shares issued by and Irish incorporated company, and associated payments may fall within this definition. Dividends or payments on the redemption or purchase of shares and payments on the liquidation of an Irish-incorporated company would fall within this definition. Any orders made under the 1992 Act typically align with the EU and UN sanctions decisions as Ireland does not operate an autonomous sanctions policy at present.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transfer of, or payment in respect of, ordinary shares involving the government of any country that is currently the subject of EU or UN sanctions, any person or body controlled by any of the foregoing, or any person acting on behalf of the foregoing, may be subject to restrictions pursuant to such sanctions as implemented into Irish law. The Company does not anticipate that orders made under the 1992 Act or EU or UN sanctions implemented into Irish law will have a material effect on its business.</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summary of the material Ireland and U.S. federal income tax consequences of an investment in the Ordinary Shares is based upon laws and relevant interpretations thereof in effect as of the date of this Annual Report, all of which are subject to change. This summary does not deal with all possible tax consequences relating to an investment in the Ordinary Shares, such as the tax consequences under U.S. state and local tax laws or under the tax laws of jurisdictions other than Ireland and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Ireland Taxation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Ireland currently levies 12.5% on profits of corporations. based upon profits, income, gains or appreciation and there is no taxation in the nature of inheritance tax or estate duty. There are no other taxes likely to be material to us levied by the government of Ireland, except for stamp duties which may be applicable on instruments executed in, or, after execution, brought within the jurisdiction of Ireland. Ireland is a party to double tax treaties with both the USA and the United Kingdom. There are no exchange control regulations or currency restrictions in Ireland.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Payments of dividends and capital in respect of our Ordinary Shares may be subject to taxation in Ireland, however non-Irish resident holders can usually claim an exemption or a refund of any Irish Dividend withholding tax (DWTT) derived from the disposal of our Ordinary Shares or Ordinary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stamp duty is payable in respect of the issue of the shares or Ordinary Shares, but an instrument of transfer in respect of a share may incur 1% stamp duty dependent on whether the transaction relates to an Irish or non-Irish resident holder, or whether it is exempt through exemptions where trading takes place on a regulated approved market such as Nasdaq.</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promote the growth of Irish public companies, in 2026 the Irish government removed the 1% stamp duty on all share transfers by companies with market capitalizations below 1 billion Euros. To take advantage of the exemption, companies must make a valid annual notification to the Irish Revenue Commissioners to trigger the exemption period. As such, Davion has secured such exemption through December 31, 2026 and intends to reapply annually subject to being below the market capitalization. Irrespective of this exemption being in place, Nasdaq on market trades continue to be exempt from stamp duty.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the Ordinary Shares by a U.S. Holder (as defined below) that acquires the Ordinary Shares and holds the Ordinary Shares as “capital assets” (generally, property held for investment) under the U.S. Internal Revenue Code of 1986, as amended (the “Code”). This discussion is based upon existing U.S. federal tax law, which is subject to differing interpretations or change, possibly with retroactive effect. No ruling has been sought from the Internal Revenue Service (the “IRS”) with respect to any U.S. federal income tax consequences described below, and there can be no assurance that the IRS or a court will not take a contrary position. This discussion, moreover, does not address the U.S. federal estate, gift, Medicare, alternative minimum tax, and other non-income tax considerations or any state, local and non-U.S. tax considerations, relating to the ownership or disposition of the Ordinary Shares. The following summary does not address all aspects of U.S. federal income taxation that may be important to particular investors in light of their individual circumstances or to persons in special tax situations such as:</w:t>
      </w:r>
    </w:p>
    <w:p>
      <w:pPr>
        <w:spacing w:after="0" w:line="188" w:lineRule="exact"/>
        <w:rPr>
          <w:sz w:val="20"/>
          <w:szCs w:val="20"/>
          <w:color w:val="auto"/>
        </w:rPr>
      </w:pPr>
    </w:p>
    <w:p>
      <w:pPr>
        <w:ind w:left="780" w:hanging="327"/>
        <w:spacing w:after="0"/>
        <w:tabs>
          <w:tab w:leader="none" w:pos="78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banks and other financial institutions;</w:t>
      </w:r>
    </w:p>
    <w:p>
      <w:pPr>
        <w:spacing w:after="0" w:line="224" w:lineRule="exact"/>
        <w:rPr>
          <w:rFonts w:ascii="Arial" w:cs="Arial" w:eastAsia="Arial" w:hAnsi="Arial"/>
          <w:sz w:val="18"/>
          <w:szCs w:val="18"/>
          <w:b w:val="1"/>
          <w:bCs w:val="1"/>
          <w:color w:val="auto"/>
        </w:rPr>
      </w:pPr>
    </w:p>
    <w:p>
      <w:pPr>
        <w:ind w:left="780" w:hanging="327"/>
        <w:spacing w:after="0"/>
        <w:tabs>
          <w:tab w:leader="none" w:pos="78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insurance companies;</w:t>
      </w:r>
    </w:p>
    <w:p>
      <w:pPr>
        <w:spacing w:after="0" w:line="224" w:lineRule="exact"/>
        <w:rPr>
          <w:rFonts w:ascii="Arial" w:cs="Arial" w:eastAsia="Arial" w:hAnsi="Arial"/>
          <w:sz w:val="18"/>
          <w:szCs w:val="18"/>
          <w:b w:val="1"/>
          <w:bCs w:val="1"/>
          <w:color w:val="auto"/>
        </w:rPr>
      </w:pPr>
    </w:p>
    <w:p>
      <w:pPr>
        <w:ind w:left="780" w:hanging="327"/>
        <w:spacing w:after="0"/>
        <w:tabs>
          <w:tab w:leader="none" w:pos="78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pension plans;</w:t>
      </w:r>
    </w:p>
    <w:p>
      <w:pPr>
        <w:spacing w:after="0" w:line="224" w:lineRule="exact"/>
        <w:rPr>
          <w:rFonts w:ascii="Arial" w:cs="Arial" w:eastAsia="Arial" w:hAnsi="Arial"/>
          <w:sz w:val="18"/>
          <w:szCs w:val="18"/>
          <w:b w:val="1"/>
          <w:bCs w:val="1"/>
          <w:color w:val="auto"/>
        </w:rPr>
      </w:pPr>
    </w:p>
    <w:p>
      <w:pPr>
        <w:ind w:left="780" w:hanging="327"/>
        <w:spacing w:after="0"/>
        <w:tabs>
          <w:tab w:leader="none" w:pos="78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cooperatives;</w:t>
      </w:r>
    </w:p>
    <w:p>
      <w:pPr>
        <w:spacing w:after="0" w:line="224" w:lineRule="exact"/>
        <w:rPr>
          <w:rFonts w:ascii="Arial" w:cs="Arial" w:eastAsia="Arial" w:hAnsi="Arial"/>
          <w:sz w:val="18"/>
          <w:szCs w:val="18"/>
          <w:b w:val="1"/>
          <w:bCs w:val="1"/>
          <w:color w:val="auto"/>
        </w:rPr>
      </w:pPr>
    </w:p>
    <w:p>
      <w:pPr>
        <w:ind w:left="780" w:hanging="327"/>
        <w:spacing w:after="0"/>
        <w:tabs>
          <w:tab w:leader="none" w:pos="78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regulated investment companies;</w:t>
      </w:r>
    </w:p>
    <w:p>
      <w:pPr>
        <w:spacing w:after="0" w:line="224" w:lineRule="exact"/>
        <w:rPr>
          <w:rFonts w:ascii="Arial" w:cs="Arial" w:eastAsia="Arial" w:hAnsi="Arial"/>
          <w:sz w:val="18"/>
          <w:szCs w:val="18"/>
          <w:b w:val="1"/>
          <w:bCs w:val="1"/>
          <w:color w:val="auto"/>
        </w:rPr>
      </w:pPr>
    </w:p>
    <w:p>
      <w:pPr>
        <w:ind w:left="780" w:hanging="327"/>
        <w:spacing w:after="0"/>
        <w:tabs>
          <w:tab w:leader="none" w:pos="78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real estate investment trusts;</w:t>
      </w:r>
    </w:p>
    <w:p>
      <w:pPr>
        <w:spacing w:after="0" w:line="224" w:lineRule="exact"/>
        <w:rPr>
          <w:rFonts w:ascii="Arial" w:cs="Arial" w:eastAsia="Arial" w:hAnsi="Arial"/>
          <w:sz w:val="18"/>
          <w:szCs w:val="18"/>
          <w:b w:val="1"/>
          <w:bCs w:val="1"/>
          <w:color w:val="auto"/>
        </w:rPr>
      </w:pPr>
    </w:p>
    <w:p>
      <w:pPr>
        <w:ind w:left="780" w:hanging="327"/>
        <w:spacing w:after="0"/>
        <w:tabs>
          <w:tab w:leader="none" w:pos="78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broker-dealers;</w:t>
      </w:r>
    </w:p>
    <w:p>
      <w:pPr>
        <w:spacing w:after="0" w:line="224" w:lineRule="exact"/>
        <w:rPr>
          <w:rFonts w:ascii="Arial" w:cs="Arial" w:eastAsia="Arial" w:hAnsi="Arial"/>
          <w:sz w:val="18"/>
          <w:szCs w:val="18"/>
          <w:b w:val="1"/>
          <w:bCs w:val="1"/>
          <w:color w:val="auto"/>
        </w:rPr>
      </w:pPr>
    </w:p>
    <w:p>
      <w:pPr>
        <w:ind w:left="780" w:hanging="327"/>
        <w:spacing w:after="0"/>
        <w:tabs>
          <w:tab w:leader="none" w:pos="78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traders that elect to use a mark-to-market method of accounting;</w:t>
      </w:r>
    </w:p>
    <w:p>
      <w:pPr>
        <w:spacing w:after="0" w:line="224" w:lineRule="exact"/>
        <w:rPr>
          <w:rFonts w:ascii="Arial" w:cs="Arial" w:eastAsia="Arial" w:hAnsi="Arial"/>
          <w:sz w:val="18"/>
          <w:szCs w:val="18"/>
          <w:b w:val="1"/>
          <w:bCs w:val="1"/>
          <w:color w:val="auto"/>
        </w:rPr>
      </w:pPr>
    </w:p>
    <w:p>
      <w:pPr>
        <w:ind w:left="780" w:hanging="327"/>
        <w:spacing w:after="0"/>
        <w:tabs>
          <w:tab w:leader="none" w:pos="78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certain former U.S. citizens or long-term residents;</w:t>
      </w:r>
    </w:p>
    <w:p>
      <w:pPr>
        <w:spacing w:after="0" w:line="224" w:lineRule="exact"/>
        <w:rPr>
          <w:rFonts w:ascii="Arial" w:cs="Arial" w:eastAsia="Arial" w:hAnsi="Arial"/>
          <w:sz w:val="18"/>
          <w:szCs w:val="18"/>
          <w:b w:val="1"/>
          <w:bCs w:val="1"/>
          <w:color w:val="auto"/>
        </w:rPr>
      </w:pPr>
    </w:p>
    <w:p>
      <w:pPr>
        <w:ind w:left="780" w:hanging="327"/>
        <w:spacing w:after="0"/>
        <w:tabs>
          <w:tab w:leader="none" w:pos="78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tax-exempt entities (including private foundations);</w:t>
      </w:r>
    </w:p>
    <w:p>
      <w:pPr>
        <w:spacing w:after="0" w:line="224" w:lineRule="exact"/>
        <w:rPr>
          <w:rFonts w:ascii="Arial" w:cs="Arial" w:eastAsia="Arial" w:hAnsi="Arial"/>
          <w:sz w:val="18"/>
          <w:szCs w:val="18"/>
          <w:b w:val="1"/>
          <w:bCs w:val="1"/>
          <w:color w:val="auto"/>
        </w:rPr>
      </w:pPr>
    </w:p>
    <w:p>
      <w:pPr>
        <w:ind w:left="780" w:hanging="327"/>
        <w:spacing w:after="0"/>
        <w:tabs>
          <w:tab w:leader="none" w:pos="78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holders who acquire their Ordinary Shares pursuant to any employee share option or otherwise as compensation;</w:t>
      </w:r>
    </w:p>
    <w:p>
      <w:pPr>
        <w:spacing w:after="0" w:line="224" w:lineRule="exact"/>
        <w:rPr>
          <w:rFonts w:ascii="Arial" w:cs="Arial" w:eastAsia="Arial" w:hAnsi="Arial"/>
          <w:sz w:val="18"/>
          <w:szCs w:val="18"/>
          <w:b w:val="1"/>
          <w:bCs w:val="1"/>
          <w:color w:val="auto"/>
        </w:rPr>
      </w:pPr>
    </w:p>
    <w:p>
      <w:pPr>
        <w:ind w:left="780" w:hanging="327"/>
        <w:spacing w:after="0" w:line="281" w:lineRule="auto"/>
        <w:tabs>
          <w:tab w:leader="none" w:pos="78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investors that will hold their Ordinary Shares as part of a straddle, hedge, conversion, constructive sale or other integrated transaction for U.S. federal income tax purposes;</w:t>
      </w:r>
    </w:p>
    <w:p>
      <w:pPr>
        <w:spacing w:after="0" w:line="162" w:lineRule="exact"/>
        <w:rPr>
          <w:rFonts w:ascii="Arial" w:cs="Arial" w:eastAsia="Arial" w:hAnsi="Arial"/>
          <w:sz w:val="18"/>
          <w:szCs w:val="18"/>
          <w:b w:val="1"/>
          <w:bCs w:val="1"/>
          <w:color w:val="auto"/>
        </w:rPr>
      </w:pPr>
    </w:p>
    <w:p>
      <w:pPr>
        <w:ind w:left="780" w:hanging="327"/>
        <w:spacing w:after="0"/>
        <w:tabs>
          <w:tab w:leader="none" w:pos="78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224" w:lineRule="exact"/>
        <w:rPr>
          <w:rFonts w:ascii="Arial" w:cs="Arial" w:eastAsia="Arial" w:hAnsi="Arial"/>
          <w:sz w:val="18"/>
          <w:szCs w:val="18"/>
          <w:b w:val="1"/>
          <w:bCs w:val="1"/>
          <w:color w:val="auto"/>
        </w:rPr>
      </w:pPr>
    </w:p>
    <w:p>
      <w:pPr>
        <w:ind w:left="780" w:right="20" w:hanging="327"/>
        <w:spacing w:after="0" w:line="281" w:lineRule="auto"/>
        <w:tabs>
          <w:tab w:leader="none" w:pos="78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investors subject to special tax accounting rules as a result of any item of gross income with respect to Ordinary Shares being taken into account in an “applicable financial statement” (as defined in the Code);</w:t>
      </w:r>
    </w:p>
    <w:p>
      <w:pPr>
        <w:spacing w:after="0" w:line="162" w:lineRule="exact"/>
        <w:rPr>
          <w:rFonts w:ascii="Arial" w:cs="Arial" w:eastAsia="Arial" w:hAnsi="Arial"/>
          <w:sz w:val="18"/>
          <w:szCs w:val="18"/>
          <w:b w:val="1"/>
          <w:bCs w:val="1"/>
          <w:color w:val="auto"/>
        </w:rPr>
      </w:pPr>
    </w:p>
    <w:p>
      <w:pPr>
        <w:ind w:left="780" w:hanging="327"/>
        <w:spacing w:after="0"/>
        <w:tabs>
          <w:tab w:leader="none" w:pos="78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persons that actually or constructively own 10% or more of our stock (by vote or value); or</w:t>
      </w:r>
    </w:p>
    <w:p>
      <w:pPr>
        <w:spacing w:after="0" w:line="224" w:lineRule="exact"/>
        <w:rPr>
          <w:rFonts w:ascii="Arial" w:cs="Arial" w:eastAsia="Arial" w:hAnsi="Arial"/>
          <w:sz w:val="18"/>
          <w:szCs w:val="18"/>
          <w:b w:val="1"/>
          <w:bCs w:val="1"/>
          <w:color w:val="auto"/>
        </w:rPr>
      </w:pPr>
    </w:p>
    <w:p>
      <w:pPr>
        <w:ind w:left="780" w:hanging="327"/>
        <w:spacing w:after="0" w:line="281" w:lineRule="auto"/>
        <w:tabs>
          <w:tab w:leader="none" w:pos="78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Ordinary Shares through such entities;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whom may be subject to tax rules that differ significantly from those discussed below.</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U.S. Holder is urged to consult its tax advisor regarding the application of U.S. federal taxation to its particular circumstances, and the state, local, non-U.S. and other tax considerations of the ownership and disposition of the Ordinary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Ordinary Shares that is, for U.S. federal income tax purposes:</w:t>
      </w:r>
    </w:p>
    <w:p>
      <w:pPr>
        <w:spacing w:after="0" w:line="225" w:lineRule="exact"/>
        <w:rPr>
          <w:sz w:val="20"/>
          <w:szCs w:val="20"/>
          <w:color w:val="auto"/>
        </w:rPr>
      </w:pPr>
    </w:p>
    <w:p>
      <w:pPr>
        <w:ind w:left="780" w:hanging="327"/>
        <w:spacing w:after="0"/>
        <w:tabs>
          <w:tab w:leader="none" w:pos="78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4" w:lineRule="exact"/>
        <w:rPr>
          <w:rFonts w:ascii="Arial" w:cs="Arial" w:eastAsia="Arial" w:hAnsi="Arial"/>
          <w:sz w:val="18"/>
          <w:szCs w:val="18"/>
          <w:b w:val="1"/>
          <w:bCs w:val="1"/>
          <w:color w:val="auto"/>
        </w:rPr>
      </w:pPr>
    </w:p>
    <w:p>
      <w:pPr>
        <w:ind w:left="780" w:hanging="327"/>
        <w:spacing w:after="0" w:line="281" w:lineRule="auto"/>
        <w:tabs>
          <w:tab w:leader="none" w:pos="78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162" w:lineRule="exact"/>
        <w:rPr>
          <w:rFonts w:ascii="Arial" w:cs="Arial" w:eastAsia="Arial" w:hAnsi="Arial"/>
          <w:sz w:val="18"/>
          <w:szCs w:val="18"/>
          <w:b w:val="1"/>
          <w:bCs w:val="1"/>
          <w:color w:val="auto"/>
        </w:rPr>
      </w:pPr>
    </w:p>
    <w:p>
      <w:pPr>
        <w:ind w:left="780" w:hanging="327"/>
        <w:spacing w:after="0"/>
        <w:tabs>
          <w:tab w:leader="none" w:pos="78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4" w:lineRule="exact"/>
        <w:rPr>
          <w:rFonts w:ascii="Arial" w:cs="Arial" w:eastAsia="Arial" w:hAnsi="Arial"/>
          <w:sz w:val="18"/>
          <w:szCs w:val="18"/>
          <w:b w:val="1"/>
          <w:bCs w:val="1"/>
          <w:color w:val="auto"/>
        </w:rPr>
      </w:pPr>
    </w:p>
    <w:p>
      <w:pPr>
        <w:jc w:val="both"/>
        <w:ind w:left="780" w:hanging="327"/>
        <w:spacing w:after="0" w:line="265" w:lineRule="auto"/>
        <w:tabs>
          <w:tab w:leader="none" w:pos="78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the Ordinary Shares or our Ordinary Shares, the tax treatment of a partner in the partnership will generally depend upon the status of the partner and the activities of the partnership. Partnerships holding Ordinary Shares or our Ordinary Shares and their partners are urged to consult their tax advisors regarding an investment in the Ordinary Shares or our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any cash distributions paid on the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Because we do not intend to determine our earnings and profits on the basis of U.S. federal income tax principles, any distribution we pay will generally be treated as a “dividend” for U.S. federal income tax purposes. Dividends received on the Ordinary Shares will not be eligible for the dividends received deduction allowed to corporations. A non-corporate U.S. Holder will be subject to tax at the lower capital gain tax rate applicable to “qualified dividend income,” provided that certain conditions are satisfied, including that (1) the shares are readily tradeable on an established securities market in the United States, (2) we are neither a PFIC nor treated as such with respect to such a U.S. Holder (as discussed below) for the taxable year in which the dividend was paid and the preceding taxable year, and (3) certain holding period requirements are met. We expect the Ordinary Shares, which we have applied to list on the Nasdaq, will be readily tradeable on an established securities market in the United States. There can be no assurance, however, that the shares will be considered readily tradeable on an established securities market in later years.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the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a U.S. Holder will generally recognize capital gain or loss upon the sale or other disposition of Ordinary Shares in an amount equal to the difference between the amount realized upon the disposition and the holder’s adjusted tax basis in such Ordinary Shares. Any capital gain or loss will be long-term if the Ordinary Shares have been held for more than one year and will generally be U.S.-source gain or loss for U.S. foreign tax credit purposes. Long-term capital gain of non-corporate U.S. Holders is generally eligible for a reduced rate of taxation. The deductibility of a capital loss may be subject to limitations. U.S. Holders are urged to consult their tax advisors regarding the tax consequences if a foreign tax is imposed on a disposition of the Ordinary Shares, including the availability of the foreign tax credit under their particular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the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Ordinary Shares), and (ii) any gain realized on the sale or other disposition of Ordinary Shares. Under the PFIC rules:</w:t>
      </w:r>
    </w:p>
    <w:p>
      <w:pPr>
        <w:spacing w:after="0" w:line="18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excess distribution or gain will be allocated ratably over the U.S. Holder’s holding period for the Ordinary Shares;</w:t>
      </w:r>
    </w:p>
    <w:p>
      <w:pPr>
        <w:spacing w:after="0" w:line="26"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3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3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1" w:lineRule="exact"/>
        <w:rPr>
          <w:rFonts w:ascii="Arial" w:cs="Arial" w:eastAsia="Arial" w:hAnsi="Arial"/>
          <w:sz w:val="18"/>
          <w:szCs w:val="18"/>
          <w:b w:val="1"/>
          <w:bCs w:val="1"/>
          <w:color w:val="auto"/>
        </w:rPr>
      </w:pPr>
    </w:p>
    <w:p>
      <w:pPr>
        <w:ind w:left="660" w:right="20" w:hanging="328"/>
        <w:spacing w:after="0" w:line="259" w:lineRule="auto"/>
        <w:tabs>
          <w:tab w:leader="none" w:pos="660" w:val="left"/>
        </w:tabs>
        <w:numPr>
          <w:ilvl w:val="0"/>
          <w:numId w:val="3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tax attributable to each prior taxable year, other than a pre-PFIC year.</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Ordinary Shares and any of our SUBSIDIARY, our variable interest entities or any of the SUBSIDIARY of our variable interest entities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SUBSIDIARY, our variable interest entities or any of the SUBSIDIARY of our variable interest entities.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such stock is regularly traded. For those purposes, the Ordinary Shares, but not our Ordinary Shares, will be treated as marketable stock upon their listing on the Nasdaq. We anticipate that the Ordinary Shares should qualify as being regularly traded, but no assurances may be given in this regard. If a U.S. Holder makes this election, the holder will generally (i) include as ordinary income for each taxable year that we are a PFIC the excess, if any, of the fair market value of Ordinary Shares held at the end of the taxable year over the adjusted tax basis of such Ordinary Shares and (ii) deduct as an ordinary loss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the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0" w:name="page61"/>
    <w:bookmarkEnd w:id="60"/>
    <w:p>
      <w:pPr>
        <w:jc w:val="both"/>
        <w:spacing w:after="0" w:line="266"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U.S. Holder owns Ordinary Shares during any taxable year that we are a PFIC, the holder must generally file an annual IRS Form 8621. Investors should consult their tax advisors regarding the U.S. federal income tax consequences of owning and disposing of your Ordinary Shares if we are or become a PFIC.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directors, officers and holders of more than 5% of the Company’s outstanding Ordinary Shares as of the effective date of our F-1 registration statement have agreed, subject to certain exceptions, to a ninety day “lock-up” period from the effective date of the our F-1 registration statement of which this Annual Report forms a part with respect to the Ordinary Shares that they beneficially own, including the issuance of shares upon the exercise of convertible securities and options that are currently outstanding or which may be 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Distributions made with respect to ordinary shares and proceeds from the sale, exchange or other disposition of ordinary shares may be subject to information reporting to the IRS and to US backup withholding tax. Backup withholding will not apply, however, if the U.S. Holder (i) is a corporation or comes within certain exempt categories, and demonstrates its eligibility for exemption when so required, or (ii) furnishes a correct taxpayer identification number and makes any other required certification.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under the backup withholding rules may be credited against a U.S. Holder’s U.S. tax liability, and a U.S. Holder may obtain a refund of any excess amounts withheld under the backup withholding rules by filing the appropriate claim for refund with the IRS.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persons that hold certain specified foreign financial assets, including stock in a foreign corporation, with values in excess of certain thresholds are required to file with their U.S. federal income tax return Form 8938, on which information about the assets, including their value, is provided. Taxpayers who fail to file the form when required are subject to penalties. An exemption from reporting applies to foreign assets held through certain financial institutions. Investors are encouraged to consult with their own tax advisors regarding the possible application of this disclosure requirement to their investment in ordinary shares.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income taxes described above, U.S. Holders that are individuals, estates or trusts and whose income exceeds certain thresholds will be subject to a 3.8% Medicare contribution tax on net investment income, which includes dividends and capital gains.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Holders may be subject to state or local income and other taxes with respect to their purchase, ownership and disposition of ordinary shares.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ordinary shares should consult their own tax advisers as to the applicability and effect of any such taxes.</w:t>
      </w:r>
    </w:p>
    <w:p>
      <w:pPr>
        <w:spacing w:after="0" w:line="203"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as applicable to “foreign private issuers” as defined in Rule 3b-4 under the Exchange Act, and in accordance therewith, we file reports and other information with the SEC, including Annual Reports on Form 20-F and reports on Form 6-K.</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foreign private issuer, we are exempt from certain provisions of the Exchange Act. Accordingly, our proxy solicitations are not subject to the disclosure and procedural requirements of Regulation 14A under the Exchange Act.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are not required under the Exchange Act to file periodic reports and financial statements as frequently or as promptly as U.S. companies whose securities are registered under the Exchange 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maintains an internet website that contains reports and other information regarding issuers that file electronically with the SEC. This Annual Report and the exhibits thereto and any other document we file pursuant to the Exchange Act may be viewed on the SEC’s website at www.sec.gov and on our website at www.davionhealthcare.com. The information contained on our website is not incorporated by reference into this Annual Report.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concerning our Company which are referred to in this Annual Report may also be inspected at our offices located at The Cube Building, Monahan Road, Cork, T12 H1XY, Ireland.</w:t>
      </w:r>
    </w:p>
    <w:p>
      <w:pPr>
        <w:spacing w:after="0" w:line="158"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activities expose us to a variety of market risks. Our primary market risk exposures relate to currency risk and geopolitical market risk. To manage these risks and our exposure to the unpredictability of financial markets, we seek to minimize potential adverse effects on our financial performance where possible.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Currency risk manifests itself in transaction exposure, which relates to business transactions denominated in foreign currency required by operations (purchasing and selling) and/or financing (interest and amortization). We currently do not engage in transactional hedging or translational hedging to protect our net investment in our Cyprus operation. Under our NeuRX license agreement we will have future transactional exposure for consideration paid and liabilities recorded in U.S. Dollars in 2026. At December 31, 2025 our foreign currency cash balances outside the Euro are not significant.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Qualitative information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Davion Healthcare Plc’s treasury policy is to manage financial risks arising in relation to or as a result of underlying business needs. The activities are carried out in accordance with board approved policies and are subject to regular internal review.</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Warrants and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i w:val="1"/>
          <w:iCs w:val="1"/>
          <w:color w:val="auto"/>
        </w:rPr>
        <w:t>Defaults, Dividend Arrearages and Delinquencies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Material Modifications to the Rights of Security Holders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 in Internal Control over Financial Reporting</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Management identified a material weakness in the Company’s internal control over financial reporting as of December 31, 2025, related to the design and operating effectiveness of controls over complex and non-routine transactions and the financial reporting process.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material weakness was evidenced by a material misstatement in the Company’s previously issued financial statements for the year ended December 31, 2024, which required restatement. Specifically, the Company did not maintain effective controls over the identification, evaluation, and accounting for complex transactions under International Financial Reporting Standards, nor did it maintain sufficient formalized review controls over the preparation of financial statements and related disclosures.</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material weakness was primarily attributable to the Company’s transition to a public company environment, including the need to enhance its finance organization, processes, and controls to address the increased complexity and technical requirements associated with public company financial reporting. Additionally, the Company had limited personnel within its finance function during the period.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result of this material weakness, management concluded that the Company’s internal control over financial reporting was not effective as of December 31, 2025.</w:t>
      </w:r>
    </w:p>
    <w:p>
      <w:pPr>
        <w:spacing w:after="0" w:line="162"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Management has initiated remediation actions, including the enhancement of its finance function, formalization of accounting policies and procedures, and implementation of additional review controls over complex transactions and financial reporting processes. These remediation efforts are ongoing in 2026.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foreign private issuer that qualifies as an emerging growth company, the Company is not required to provide, and this Annual Report does not include, an attestation report of the Company’s registered public accounting firm regarding internal control over financial reporting pursuant to Section 404(b) of the Sarbanes-Oxley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Except for the remediation activities described above, there were no changes in the Company’s internal control over financial reporting during the period covered by this Annual Report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64" w:name="page65"/>
    <w:bookmarkEnd w:id="6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8"/>
          <w:szCs w:val="18"/>
          <w:b w:val="1"/>
          <w:bCs w:val="1"/>
          <w:i w:val="1"/>
          <w:iCs w:val="1"/>
          <w:color w:val="auto"/>
        </w:rPr>
        <w:t>Audit Committee Financial Expert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 Dulman is an independent director who joined as a member of the Audit Committee in December 2025. Our board of directors has determined that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Dulman meets the definition of an audit committee financial expert, as defined in Item 401 of Regulation S-K.</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i w:val="1"/>
          <w:iCs w:val="1"/>
          <w:color w:val="auto"/>
        </w:rPr>
        <w:t>Code of Ethics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Davion Healthcare Plc has adopted a code of ethics that applies to the Chief Executive Officer, Chief Financial Officer and board members. Written copies of the code of ethics are available free of charge upon written request to us at the address on the first page of this Annual Report. If we make any substantive amendments to the code of ethics or grant any waivers, including any implicit waiver, from a provision of these codes to our Chief Executive Officer, Chief Financial Officer or board members, we will disclose the nature of such amendment or waiver on our website.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Billed by Independent Public Accountants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each of the years indicated, the fees billed by our independent public accountants and the percentage of each of the fees out of the total amount billed by the accountants.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40" w:type="dxa"/>
            <w:vAlign w:val="bottom"/>
          </w:tcPr>
          <w:p>
            <w:pPr>
              <w:spacing w:after="0"/>
              <w:rPr>
                <w:sz w:val="20"/>
                <w:szCs w:val="20"/>
                <w:color w:val="auto"/>
              </w:rPr>
            </w:pPr>
          </w:p>
        </w:tc>
        <w:tc>
          <w:tcPr>
            <w:tcW w:w="29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Year ended December 31, 2025</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60" w:type="dxa"/>
            <w:vAlign w:val="bottom"/>
            <w:gridSpan w:val="5"/>
          </w:tcPr>
          <w:p>
            <w:pPr>
              <w:ind w:left="600"/>
              <w:spacing w:after="0"/>
              <w:rPr>
                <w:sz w:val="20"/>
                <w:szCs w:val="20"/>
                <w:color w:val="auto"/>
              </w:rPr>
            </w:pPr>
            <w:r>
              <w:rPr>
                <w:rFonts w:ascii="Times New Roman" w:cs="Times New Roman" w:eastAsia="Times New Roman" w:hAnsi="Times New Roman"/>
                <w:sz w:val="18"/>
                <w:szCs w:val="18"/>
                <w:i w:val="1"/>
                <w:iCs w:val="1"/>
                <w:color w:val="auto"/>
              </w:rPr>
              <w:t>Year ended December 31, 2024</w:t>
            </w:r>
          </w:p>
        </w:tc>
      </w:tr>
      <w:tr>
        <w:trPr>
          <w:trHeight w:val="223"/>
        </w:trPr>
        <w:tc>
          <w:tcPr>
            <w:tcW w:w="3840" w:type="dxa"/>
            <w:vAlign w:val="bottom"/>
          </w:tcPr>
          <w:p>
            <w:pPr>
              <w:spacing w:after="0"/>
              <w:rPr>
                <w:sz w:val="19"/>
                <w:szCs w:val="19"/>
                <w:color w:val="auto"/>
              </w:rPr>
            </w:pPr>
          </w:p>
        </w:tc>
        <w:tc>
          <w:tcPr>
            <w:tcW w:w="12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i w:val="1"/>
                <w:iCs w:val="1"/>
                <w:color w:val="auto"/>
              </w:rPr>
              <w:t>USD $’000</w:t>
            </w:r>
          </w:p>
        </w:tc>
        <w:tc>
          <w:tcPr>
            <w:tcW w:w="172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i w:val="1"/>
                <w:iCs w:val="1"/>
                <w:color w:val="auto"/>
              </w:rPr>
              <w:t>USD $’000</w:t>
            </w:r>
          </w:p>
        </w:tc>
        <w:tc>
          <w:tcPr>
            <w:tcW w:w="1880" w:type="dxa"/>
            <w:vAlign w:val="bottom"/>
            <w:tcBorders>
              <w:top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spacing w:after="0"/>
              <w:rPr>
                <w:sz w:val="19"/>
                <w:szCs w:val="19"/>
                <w:color w:val="auto"/>
              </w:rPr>
            </w:pPr>
          </w:p>
        </w:tc>
      </w:tr>
      <w:tr>
        <w:trPr>
          <w:trHeight w:val="223"/>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w:t>
            </w: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9"/>
                <w:szCs w:val="19"/>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Audit services include the audit of our consolidated financial statements and reviews of our interim financial statements, as well as work only the independent auditors can reasonably be expected to provide. Audit related services are for assurance and related services performed by the independent auditor, including any special procedures required to meet certain regulatory requirements. As our auditor was engaged for the first time in 2025, there were no audit fees billed in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Committee has adopted policies and procedures for the pre-approval of audit and non-audit services rendered by our independent public accountants, WithumSmith+Brown, PC. As a matter of practice, the Audit Committee Chairman and Chief Financial Officer approve all audit and non-audit services prior to commencement of services.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Pre-approval may be given as part of the Audit Committee’s approval of the scope of the engagement of our independent auditor or on an individual basis. The pre-approval of services may be delegated to one or more of the Audit Committee’s members, but the decision must be presented to the full Audit Committee at its next scheduled meeting. The policy prohibits retention of the independent public accountants to perform the prohibited non-audit functions defined in Section 201 of the Sarbanes-Oxley Act or the rules of the SEC, and also considers whether proposed services are compatible with the independence of the public accountants.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5" w:name="page66"/>
    <w:bookmarkEnd w:id="6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8"/>
          <w:szCs w:val="18"/>
          <w:b w:val="1"/>
          <w:bCs w:val="1"/>
          <w:i w:val="1"/>
          <w:iCs w:val="1"/>
          <w:color w:val="auto"/>
        </w:rPr>
        <w:t>Exemptions from the Listing Standards for Audit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i w:val="1"/>
          <w:i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Buyback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Davion Healthcare Plc did not purchase any of its own shares during 2025 or 2024.</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i w:val="1"/>
          <w:iCs w:val="1"/>
          <w:color w:val="auto"/>
        </w:rPr>
        <w:t>Change in Registrant’s Certifying Accountant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8"/>
          <w:szCs w:val="18"/>
          <w:b w:val="1"/>
          <w:bCs w:val="1"/>
          <w:i w:val="1"/>
          <w:iCs w:val="1"/>
          <w:color w:val="auto"/>
        </w:rPr>
        <w:t>Corporate Governance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Stock Market Rules and Home Country Practice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NASDAQ Stock Market Rule 5615(a)(3), foreign private issuers, such as our Company, are permitted to follow certain home country corporate governance practices instead of certain provisions of the NASDAQ Stock Market Rules. A foreign private issuer that elects to follow a home country practice instead of any of such NASDAQ requirements must submit to NASDAQ, in advance, a written statement from an independent counsel in such issuer’s home country certifying that the issuer’s practices are not prohibited by the home country’s laws. Upon listing in 2026, we may provide NASDAQ with such a letter of non-compliance with respect to the following:</w:t>
      </w:r>
    </w:p>
    <w:p>
      <w:pPr>
        <w:spacing w:after="0" w:line="183" w:lineRule="exact"/>
        <w:rPr>
          <w:sz w:val="20"/>
          <w:szCs w:val="20"/>
          <w:color w:val="auto"/>
        </w:rPr>
      </w:pPr>
    </w:p>
    <w:p>
      <w:pPr>
        <w:ind w:left="660" w:hanging="328"/>
        <w:spacing w:after="0" w:line="281" w:lineRule="auto"/>
        <w:tabs>
          <w:tab w:leader="none" w:pos="66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Rule 5605(b)(1) - The Rule requiring maintaining a majority of independent directors. Instead, under Irish law and practice, we are not required to appoint a majority of independent directors.</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Rule 5605(b)(2) -The Rule requiring that our independent directors have regularly scheduled meetings at which only independent directors are present. Instead, under Irish law independent directors are not required to hold executive sessions.</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Rule 5605(e) - The Rule regarding independent director oversight of director nominations process for directors. Instead, under Irish law and practice according to which our board of directors recommends directors for election/re-election by our shareholders.</w:t>
      </w:r>
    </w:p>
    <w:p>
      <w:pPr>
        <w:spacing w:after="0" w:line="162" w:lineRule="exact"/>
        <w:rPr>
          <w:rFonts w:ascii="Arial" w:cs="Arial" w:eastAsia="Arial" w:hAnsi="Arial"/>
          <w:sz w:val="18"/>
          <w:szCs w:val="18"/>
          <w:b w:val="1"/>
          <w:bCs w:val="1"/>
          <w:color w:val="auto"/>
        </w:rPr>
      </w:pPr>
    </w:p>
    <w:p>
      <w:pPr>
        <w:jc w:val="both"/>
        <w:ind w:left="660" w:hanging="328"/>
        <w:spacing w:after="0" w:line="258" w:lineRule="auto"/>
        <w:tabs>
          <w:tab w:leader="none" w:pos="66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Rule 5635(c) - The requirement to obtain shareholder approval for the establishment or amendment of certain equity based compensation plans, an issuance that will result in a change of control of the Company (Rule 5635(b)), certain transactions other than a public offering involving issuances of a 20% or more interest in the Company (Rule 5635(d)) and certain acquisitions of the stock or assets of another company (Rule 5635(a)). Instead, under Irish law and practices it provides for approving such procedures, according to which Board approval may suffice in certain circumstances, depending on the extent existing general authorities to issue shares are in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6" w:name="page67"/>
    <w:bookmarkEnd w:id="66"/>
    <w:p>
      <w:pPr>
        <w:ind w:left="660" w:hanging="328"/>
        <w:spacing w:after="0" w:line="281" w:lineRule="auto"/>
        <w:tabs>
          <w:tab w:leader="none" w:pos="66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Rule 5605(c)(2) - The Rule requiring maintaining an audit committee consisting of at least three independent directors. Instead, Irish law requires that an audit committee have at least one independent director.</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Rule 5605(d)(2) - The Rule requiring a compensation committee consisting of at least two independent directors. We have had a compensation committee, which we referred to as the remuneration committee.</w:t>
      </w:r>
    </w:p>
    <w:p>
      <w:pPr>
        <w:spacing w:after="0" w:line="162" w:lineRule="exact"/>
        <w:rPr>
          <w:rFonts w:ascii="Arial" w:cs="Arial" w:eastAsia="Arial" w:hAnsi="Arial"/>
          <w:sz w:val="18"/>
          <w:szCs w:val="18"/>
          <w:b w:val="1"/>
          <w:bCs w:val="1"/>
          <w:color w:val="auto"/>
        </w:rPr>
      </w:pPr>
    </w:p>
    <w:p>
      <w:pPr>
        <w:jc w:val="both"/>
        <w:ind w:left="660" w:hanging="328"/>
        <w:spacing w:after="0" w:line="254" w:lineRule="auto"/>
        <w:tabs>
          <w:tab w:leader="none" w:pos="66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Rule 5620(c) - The Rule requiring a quorum of 33 1/3% at any meeting of shareholders (Rule 5620(c)). Instead, we follow the provisions of our Articles which require a quorum of 40%. If a quorum is not present within 30 minutes (or such longer time not exceeding one hour as the chairperson of the meeting may decide to wait) after the time appointed for the holding of the meeting a quorum is not present, or if during the meeting a quorum ceases to be present, the meeting, if convened on the requisition of shareholders, shall be dissolved and in any other case, shall stand adjourned to the same day in the next week or to such other day and at such other time and place as the chairperson (or, in default, the board of directors) may, subject to the provisions of the Companies Act 2014, determine. If at such adjourned meeting a quorum is not present within 15 minutes after the time appointed for holding it, the members present in person or by proxy shall be a quorum, but so that not less than two individuals shall constitute a quorum.</w:t>
      </w:r>
    </w:p>
    <w:p>
      <w:pPr>
        <w:spacing w:after="0" w:line="18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7"/>
          <w:szCs w:val="17"/>
          <w:b w:val="1"/>
          <w:bCs w:val="1"/>
          <w:i w:val="1"/>
          <w:iCs w:val="1"/>
          <w:color w:val="auto"/>
        </w:rPr>
        <w:t>Insider Trading Policies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and/or other dispositions of our ordinary shares by directors, officers and employees, that are reasonably designed to promote compliance with insider trading laws, rules and regulations, and the Nasdaq listing standards.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Davion Healthcare has not experienced any material cybersecurity incidents to date. Davion operates as a virtual Company with no employees, no on-premise servers and no internal corporate network, relying instead on third-party cloud and SaaS providers and the personal devices of its directors.</w:t>
      </w:r>
    </w:p>
    <w:p>
      <w:pPr>
        <w:spacing w:after="0" w:line="18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Davion’s Board oversees cybersecurity risk as part of its overall risk oversight responsibilities and has designated an executive director to coordinate cybersecurity matters, including oversight of key third-party providers and director-level security practices. Davion focuses its controls on contractual protections and oversight of critical third-party providers, use of reputable cloud platforms, and baseline security practices for director accounts and devices, including multi-factor authentication and encryption where available.</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the date of this filing, Davion is not aware of any cybersecurity threats, including past incidents, that have materially affected or are reasonably likely to materially affect its business strategy,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has responded to Item 18 in lieu of responding to this item.</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as required under Item 18 are attached hereto starting on page 71 of this Annual Report. The audit report of WithumSmith+Brown, PC (PCAOB ID 100), independent registered public accounting firm, is included herein preceding the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8" w:name="page69"/>
    <w:bookmarkEnd w:id="68"/>
    <w:p>
      <w:pPr>
        <w:jc w:val="right"/>
        <w:ind w:right="1959"/>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December 31, 2025 and 2024 Audited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69" w:name="page70"/>
    <w:bookmarkEnd w:id="69"/>
    <w:p>
      <w:pPr>
        <w:jc w:val="right"/>
        <w:ind w:right="2139"/>
        <w:spacing w:after="0"/>
        <w:rPr>
          <w:sz w:val="20"/>
          <w:szCs w:val="20"/>
          <w:color w:val="auto"/>
        </w:rPr>
      </w:pPr>
      <w:r>
        <w:rPr>
          <w:rFonts w:ascii="Times New Roman" w:cs="Times New Roman" w:eastAsia="Times New Roman" w:hAnsi="Times New Roman"/>
          <w:sz w:val="18"/>
          <w:szCs w:val="18"/>
          <w:b w:val="1"/>
          <w:bCs w:val="1"/>
          <w:color w:val="auto"/>
        </w:rPr>
        <w:t>CONSOLIDATED FINANCIAL STATEMENTS APPENDIX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registration number 772522 (Republic of Ireland)</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F-1</w:t>
            </w:r>
          </w:p>
        </w:tc>
      </w:tr>
      <w:tr>
        <w:trPr>
          <w:trHeight w:val="412"/>
        </w:trPr>
        <w:tc>
          <w:tcPr>
            <w:tcW w:w="42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Consolidated Statements of Operations</w:t>
            </w:r>
          </w:p>
        </w:tc>
        <w:tc>
          <w:tcPr>
            <w:tcW w:w="58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28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3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Statements of Financial Position</w:t>
            </w:r>
          </w:p>
        </w:tc>
        <w:tc>
          <w:tcPr>
            <w:tcW w:w="6680" w:type="dxa"/>
            <w:vAlign w:val="bottom"/>
            <w:gridSpan w:val="4"/>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F-3</w:t>
            </w:r>
          </w:p>
        </w:tc>
      </w:tr>
      <w:tr>
        <w:trPr>
          <w:trHeight w:val="412"/>
        </w:trPr>
        <w:tc>
          <w:tcPr>
            <w:tcW w:w="35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w:t>
            </w:r>
          </w:p>
        </w:tc>
        <w:tc>
          <w:tcPr>
            <w:tcW w:w="6460" w:type="dxa"/>
            <w:vAlign w:val="bottom"/>
            <w:gridSpan w:val="2"/>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F-4</w:t>
            </w:r>
          </w:p>
        </w:tc>
      </w:tr>
      <w:tr>
        <w:trPr>
          <w:trHeight w:val="412"/>
        </w:trPr>
        <w:tc>
          <w:tcPr>
            <w:tcW w:w="28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7140" w:type="dxa"/>
            <w:vAlign w:val="bottom"/>
            <w:gridSpan w:val="5"/>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F-5</w:t>
            </w:r>
          </w:p>
        </w:tc>
      </w:tr>
      <w:tr>
        <w:trPr>
          <w:trHeight w:val="412"/>
        </w:trPr>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F-6 – F-34</w:t>
            </w:r>
          </w:p>
        </w:tc>
      </w:tr>
      <w:tr>
        <w:trPr>
          <w:trHeight w:val="20"/>
        </w:trPr>
        <w:tc>
          <w:tcPr>
            <w:tcW w:w="2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0056B8"/>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Davion Healthcare Plc and Subsidiary: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6B8"/>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Davion Healthcare Plc and Subsidiary (the “Company”) as of December 31, 2025 and 2024, and the related consolidated statements of operations,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International Financial Reporting Standards (IFRS) as issued by the International Accounting Standards Board (IASB).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6B8"/>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 Smith + 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0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(823,977)</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(1,312,194)</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(823,977)</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total comprehensive loss for the year</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(823,977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(1,320,353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(0.03)</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25,000,000</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22,909,836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65,000,000</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65,000,000</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17,033</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8,138</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Prepayments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122,507</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1,058</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140,598</w:t>
            </w:r>
          </w:p>
        </w:tc>
        <w:tc>
          <w:tcPr>
            <w:tcW w:w="3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65,140,598</w:t>
            </w:r>
          </w:p>
        </w:tc>
        <w:tc>
          <w:tcPr>
            <w:tcW w:w="3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65,008,149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71,347,078</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71,347,078</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Deficit</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(7,452,662)</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(6,628,685)</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920" w:type="dxa"/>
            <w:vAlign w:val="bottom"/>
          </w:tcPr>
          <w:p>
            <w:pPr>
              <w:spacing w:after="0"/>
              <w:rPr>
                <w:sz w:val="22"/>
                <w:szCs w:val="22"/>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64,144,416</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64,968,393</w:t>
            </w:r>
          </w:p>
        </w:tc>
        <w:tc>
          <w:tcPr>
            <w:tcW w:w="0" w:type="dxa"/>
            <w:vAlign w:val="bottom"/>
          </w:tcPr>
          <w:p>
            <w:pPr>
              <w:spacing w:after="0"/>
              <w:rPr>
                <w:sz w:val="1"/>
                <w:szCs w:val="1"/>
                <w:color w:val="auto"/>
              </w:rPr>
            </w:pPr>
          </w:p>
        </w:tc>
      </w:tr>
      <w:tr>
        <w:trPr>
          <w:trHeight w:val="197"/>
        </w:trPr>
        <w:tc>
          <w:tcPr>
            <w:tcW w:w="65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related parties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907,671</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88,511</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39,756</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996,182</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39,756</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and liabilities</w:t>
            </w:r>
          </w:p>
        </w:tc>
        <w:tc>
          <w:tcPr>
            <w:tcW w:w="9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65,140,598</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65,008,149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notes are an integral part of these consolidated financial statements.</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were approved by the board of directors and authorised for issuance on March 31, 2026 and are signed on its behalf by: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Jack Kaye                                     </w:t>
            </w:r>
          </w:p>
        </w:tc>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w w:val="98"/>
              </w:rPr>
              <w:t>/s/ Andreas Ttofi</w:t>
            </w:r>
          </w:p>
        </w:tc>
      </w:tr>
      <w:tr>
        <w:trPr>
          <w:trHeight w:val="214"/>
        </w:trPr>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Jack Kaye</w:t>
            </w:r>
          </w:p>
        </w:tc>
        <w:tc>
          <w:tcPr>
            <w:tcW w:w="5740" w:type="dxa"/>
            <w:vAlign w:val="bottom"/>
          </w:tcPr>
          <w:p>
            <w:pPr>
              <w:spacing w:after="0"/>
              <w:rPr>
                <w:sz w:val="18"/>
                <w:szCs w:val="18"/>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Andreas Ttofi</w:t>
            </w:r>
          </w:p>
        </w:tc>
      </w:tr>
      <w:tr>
        <w:trPr>
          <w:trHeight w:val="238"/>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432"/>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 registration number 772522</w:t>
            </w:r>
          </w:p>
        </w:tc>
        <w:tc>
          <w:tcPr>
            <w:tcW w:w="1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0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2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 premium</w:t>
            </w:r>
          </w:p>
        </w:tc>
        <w:tc>
          <w:tcPr>
            <w:tcW w:w="22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64,877,415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(5,308,332)</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59,769,083</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and total comprehensive income (loss) for the period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(1,320,353)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(1,320,353)</w:t>
            </w:r>
          </w:p>
        </w:tc>
        <w:tc>
          <w:tcPr>
            <w:tcW w:w="0" w:type="dxa"/>
            <w:vAlign w:val="bottom"/>
          </w:tcPr>
          <w:p>
            <w:pPr>
              <w:spacing w:after="0"/>
              <w:rPr>
                <w:sz w:val="1"/>
                <w:szCs w:val="1"/>
                <w:color w:val="auto"/>
              </w:rPr>
            </w:pPr>
          </w:p>
        </w:tc>
      </w:tr>
      <w:tr>
        <w:trPr>
          <w:trHeight w:val="198"/>
        </w:trPr>
        <w:tc>
          <w:tcPr>
            <w:tcW w:w="45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Transactions with Owners in their capacity as owners:</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for repayment of advances and salaries</w:t>
            </w: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5,594,018</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5,600,000</w:t>
            </w:r>
          </w:p>
        </w:tc>
        <w:tc>
          <w:tcPr>
            <w:tcW w:w="0" w:type="dxa"/>
            <w:vAlign w:val="bottom"/>
          </w:tcPr>
          <w:p>
            <w:pPr>
              <w:spacing w:after="0"/>
              <w:rPr>
                <w:sz w:val="1"/>
                <w:szCs w:val="1"/>
                <w:color w:val="auto"/>
              </w:rPr>
            </w:pPr>
          </w:p>
        </w:tc>
      </w:tr>
      <w:tr>
        <w:trPr>
          <w:trHeight w:val="198"/>
        </w:trPr>
        <w:tc>
          <w:tcPr>
            <w:tcW w:w="4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Transactions with Owners in their capacity as owners: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 of share capital</w:t>
            </w: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875,645</w:t>
            </w: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919,663</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71,347,078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(6,628,685)</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64,968,393</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and total comprehensive income (loss) for the year</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(823,977)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(823,977)</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71,347,078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(7,452,662)</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64,144,416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(823,977)</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(1,320,353)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VAT receivable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(8,895)</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(7,807)</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prepayments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(122,507)</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amount due to related parties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906,301</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890,915</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trade and other payables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48,755</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436,577</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from investing activities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Increase from related party advances, net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1,370</w:t>
            </w:r>
          </w:p>
        </w:tc>
        <w:tc>
          <w:tcPr>
            <w:tcW w:w="3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1,047</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Non cash investing and financing activities: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for amounts due to related parties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5,600,000</w:t>
            </w:r>
          </w:p>
        </w:tc>
        <w:tc>
          <w:tcPr>
            <w:tcW w:w="0" w:type="dxa"/>
            <w:vAlign w:val="bottom"/>
          </w:tcPr>
          <w:p>
            <w:pPr>
              <w:spacing w:after="0"/>
              <w:rPr>
                <w:sz w:val="1"/>
                <w:szCs w:val="1"/>
                <w:color w:val="auto"/>
              </w:rPr>
            </w:pPr>
          </w:p>
        </w:tc>
      </w:tr>
      <w:tr>
        <w:trPr>
          <w:trHeight w:val="238"/>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trade and other payables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919,663</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Davion Healthcare Plc was incorporated in the Republic of Cyprus on 29 November 2022 as a Public Company and re-registered in Ireland as a Public Limited Company on 25 September 2024. In December 2024, a restructuring was completed with the shareholders of Cyprus, exchanging their shares for the same number of shares in Davion Healthcare Plc. in Ireland, making Cyprus a wholly owned subsidiary, which was renamed as Davion Healthcare Ltd. The consolidated financial statements give effect to the restructuring as a “reverse merger” as if it occurred on January 1, 2023. Davion Healthcare is a healthcare Company focusing on the development and commercialization of non-invasive home tests for the early detection, prevention and monitoring of health anomalies. All references to “the Company”, “we”, “us”, “the Group” or “our” refer to Davion Healthcare Plc and its wholly owned subsidiary Davion Healthcare Ltd. unless the context otherwise indicates.</w:t>
      </w:r>
    </w:p>
    <w:p>
      <w:pPr>
        <w:spacing w:after="0" w:line="185"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   Reporting period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financial statements cover the financial years ended December 31, 2025 and 2024.</w:t>
      </w:r>
    </w:p>
    <w:p>
      <w:pPr>
        <w:spacing w:after="0" w:line="221"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Accounting convention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International Financial Reporting Standards (“IFRS”) as issued by the International Accounting Standards Board (“IASB”).</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are prepared in Euros, which is the functional currency of the Company. Monetary amounts in these consolidated financial statements are rounded to the nearest Euro, unless the context otherwise indicates.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under the historical cost convention. The principal accounting policies adopted are set out below.</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consist of the financial statements of the parent Company, Davion Healthcare Plc, together with its wholly owned subsidiary, Davion Healthcare Ltd. On January 1, 2026 the Company acquired 100% of Davion Healthcare Corporation.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the financial statements are made up to December 31, 2025 and 2024. Where necessary, adjustments are made to the financial statements of the subsidiary to bring the accounting policies used into line with those used by other subsidiaries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intra-Company transactions, balances and unrealised gains on transactions between the Company and its subsidiary are eliminated on consolidation.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losses are also eliminated unless the transaction provides evidence of an impairment of the asset transferred.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incurred a loss of €823,977 for the year ended December 31, 2025, and the Company’s current assets exceeded its current liabilities by €52,087. The Company has received a letter of support from its Chief Executive Officer stating that he will continue to support the Company for a period of 12 months from the approval of these consolidated financial statements. Management has concluded that based on all relevant factors, management does not believe that any material uncertainties exist that would cast significant doubt on Davion’s ability to continue as a going concern. See Note 3 Critical accounting policies and judgments for additional information on management’s evaluation.</w:t>
      </w:r>
    </w:p>
    <w:p>
      <w:pPr>
        <w:spacing w:after="0" w:line="179"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Intangible assets other than goodwill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Intellectual Property Rights acquired separately are measured on initial recognition at cost or fair value depending on the nature of the underlying transaction and form of consideration.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assets with finite lives are amortised over the useful economic life and assessed for impairment whenever there is an indication that the intangible asset may be impaired. The amortisation period and the amortisation method for an intangible asset with a finite useful life is reviewed at least at each financial year-end. Changes in the expected useful life or the expected pattern of consumption of future economic benefits embodied in the assets are accounted for by changing the amortisation period or method, as appropriate, and are treated as changes in accounting estimates. The amortisation expense on intangible assets with finite lives is recognised in profit or loss in the expense category consistent with the function of the intangible asset.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with indefinite useful lives are tested for impairment annually either individually or at the cash generating unit level. Such intangibles are not amortised. The useful life of an intangible asset with an indefinite life is reviewed annually to determine whether the indefinite life assessment continues to be supportable. If not, the change in the useful life assessment from indefinite to finite is made on a prospective basis.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intangible asset is derecognised on disposal, or when no future economic benefits are expected from use or disposal. Gains or losses arising from derecognition of an intangible asset, measured as the difference between the net disposal proceeds and the carrying amount of the asset, are recognised in profit or loss when the asset is derecognised.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Impairment of tangible and intangible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each reporting end date, the Company reviews the carrying amounts of its tangible assets to determine whether there is any indication that those assets have suffered an impairment loss. If any such indication exists, the recoverable amount of the asset is estimated in order to determine the extent of the impairment loss (if any). Where it is not possible to estimate the recoverable amount of an individual asset, the Company estimates the recoverable amount of the cash-generating unit to which the asset belongs.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with indefinite useful lives and intangible assets not yet available for use are tested for impairment annually, and whenever there is an indication that the asset may be impaired.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which the estimates of future cash flows have not been adjusted.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recoverable amount of an asset (or cash-generating unit) is estimated to be less than its carrying amount, the carrying amount of the asset (or cash-generating unit) is reduced to its recoverable amount. An impairment loss is recognised immediately in profit or loss, unless the relevant asset is carried at a revalued amount, in which case the impairment loss is treated as a revaluation decrease.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an impairment loss subsequently reverses, the carrying amount of the asset (or cash-generating unit) is increased to the revised estimate of its recoverable amount, but so that the increased carrying amount does not exceed the carrying amount that would have been determined had no impairment loss been recognised for the asset (or cash-generating unit) in prior years. A reversal of an impairment loss is recognised immediately in profit or loss, unless the relevant asset is carried at a revalued amount, in which case the reversal of the impairment loss is treated as a revaluation increase.</w:t>
      </w:r>
    </w:p>
    <w:p>
      <w:pPr>
        <w:spacing w:after="0" w:line="176"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cash on hand, deposits held at call with banks, other short-term liquid investments with original maturities of three months or less, and bank overdrafts. Bank overdrafts are shown within borrowings in current liabilities. Cash and cash equivalents are carried at amortised cost because (i) they are held for collection of contractual cash flows and those cash flows represent sole payments of principal and interest, and (ii) they are not designated at Fair Value Through Profit and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Financial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are recognised in the Company’s consolidated statement of financial position when the Company becomes party to the contractual provisions of the instrument. Financial assets are classified into specified categories, depending on the nature and purpose of the financial assets.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purchases and sales of financial assets that require delivery within the time frame established by regulation or market convention (“regular way” purchases and sales) are recorded at trade date, which is the date when the Company commits to deliver a financial instrument. All other purchases and sales are recognised when the entity becomes a party to the contractual provisions of the instrument.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assets are derecognised when the rights to receive cash flows from the financial assets have expired or have been transferred and the Company has transferred substantially all the risks and rewards of ownership.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at fair value through profit or loss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IFRS 13 establishes a single source of guidance for all fair value measurements. IFRS 13 does not change when an entity is required to use fair value, but rather provides guidance on how to measure fair value under IFRS when fair value is required or permitted. The resulting calculations under IFRS 13 affected the principles that the Company uses to assess the fair value, but the assessment of fair value under IFRS 13 has not materially changed the fair values recognised or disclosed. IFRS 13 mainly impacts the disclosures of the Company. It requires specific disclosures about fair value measurements and disclosures of fair values, some of which replace existing disclosure requirements in other standards.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held at amortised cost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are classified as financial assets measured at amortised cost where the objective is to hold these assets in order to collect contractual cash flows, and the contractual cash flows are solely payments of principal and interest. They arise principally from the provision of goods and services to customers (e.g, trade receivables). They are initially recognised at fair value plus transaction costs directly attributable to their acquisition or issue, and are subsequently carried at amortised cost using the effective interest rate method, less provision for impairment where necessary.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financial assets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assets carried at amortised cost and Fair Value Through Other Comprehensive Income are assessed for indicators of impairment at each reporting end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expected credit losses associated with these assets are estimated on a forward-looking basis. A broad range of information is considered when assessing credit risk and measuring expected credit losses, including past events, current conditions, and reasonable and supportable forecasts that affect the expected collectability of the future cash flows of the instrument.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trade receivables, the simplified approach permitted by IFRS 9 is applied, which requires expected lifetime losses to be recognised from initial recognition of the receivables.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Derecognition of financial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are derecognised only when the contractual rights to the cash flows from the asset expire, or when it transfers the financial asset and substantially all the risks and rewards of ownership to another entity.</w:t>
      </w:r>
    </w:p>
    <w:p>
      <w:pPr>
        <w:spacing w:after="0" w:line="158"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Financial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financial debt when the Company becomes a party to the contractual provisions of the instruments. Financial liabilities are classified as either “financial liabilities at fair value through profit or loss” or “other financial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financial liabilities, including borrowings, trade payables and other short-term monetary liabilities, are initially measured at fair value net of transaction costs directly attributable to the issuance of the financial liability. They are subsequently measured at amortised cost using the effective interest method. For the purposes of each financial liability, interest expense includes initial transaction costs and any premium payable on redemption, as well as any interest or coupon payable while the liability is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Derecognition of financial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liabilities are derecognised when, and only when, the Company’s obligations are discharged, cancelled, or they expire.</w:t>
      </w:r>
    </w:p>
    <w:p>
      <w:pPr>
        <w:spacing w:after="0" w:line="221"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Equity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instruments issued by the Company are recorded at the proceeds received or at the fair value of shares issued, net of direct issue costs, as appropriate. Dividends payable on equity instruments are recognised as liabilities once they are no longer at the discretion of the Company.</w:t>
      </w:r>
    </w:p>
    <w:p>
      <w:pPr>
        <w:spacing w:after="0" w:line="158" w:lineRule="exact"/>
        <w:rPr>
          <w:sz w:val="20"/>
          <w:szCs w:val="20"/>
          <w:color w:val="auto"/>
        </w:rPr>
      </w:pPr>
    </w:p>
    <w:p>
      <w:pPr>
        <w:ind w:left="3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1.10</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represents the sum of the tax currently payable and deferred tax.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tax</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tax currently payable is based on taxable profit for the year. Taxable profit differs from net profit as reported in the Consolidated Statements of Operations because it excludes items of income or expense that are taxable or deductible in other years and it further excludes items that are never taxable or deductible. The Company’s liability for current tax is calculated using tax rates that have been enacted or substantively enacted by the reporting end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tax is the tax expected to be payable or recoverable on differences between the carrying amounts of assets and liabilities in the consolidated financial statements and the corresponding tax bases used in the computation of taxable profit, and is accounted for using the balance sheet liability method. Deferred tax liabilities are generally recognised for all taxable temporary differences, and deferred tax assets are recognised to the extent that it is probable that taxable profits will be available against which deductible temporary differences, can be utilised. Such assets and liabilities are not recognised if the temporary difference arises from goodwill or from the initial recognition of other assets and liabilities in a transaction that affects neither the tax profit nor the accounting profit.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Group had unutilised corporation tax assets of €931,583 (2024: €828,586) available for offset against future taxable profits. These losses arise in the Ireland and Cyprus tax jurisdiction and may be carried forward indefinitely under local tax legislation. In accordance with IAS 12</w:t>
      </w: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no deferred tax asset has been recognised in respect of these losses due to the uncertainty regarding the availability of sufficient future taxable profits against which the losses can be utilised. Management will continue to assess the recoverability of these tax losses and will recognise a deferred tax asset when it is considered probable that future taxable profits will be available.</w:t>
      </w:r>
    </w:p>
    <w:p>
      <w:pPr>
        <w:spacing w:after="0" w:line="182" w:lineRule="exact"/>
        <w:rPr>
          <w:sz w:val="20"/>
          <w:szCs w:val="20"/>
          <w:color w:val="auto"/>
        </w:rPr>
      </w:pPr>
    </w:p>
    <w:p>
      <w:pPr>
        <w:ind w:left="3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b w:val="1"/>
          <w:bCs w:val="1"/>
          <w:color w:val="auto"/>
        </w:rPr>
        <w:t>Foreign exchange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in currencies other than euros are recorded at the rates of exchange prevailing at the dates of the transactions. At each reporting end date, monetary assets and liabilities that are denominated in foreign currencies are remeasured at the rates prevailing on the reporting end date. Gains and losses arising on remeasurement in the period are included in profit or loss.</w:t>
      </w:r>
    </w:p>
    <w:p>
      <w:pPr>
        <w:spacing w:after="0" w:line="172" w:lineRule="exact"/>
        <w:rPr>
          <w:sz w:val="20"/>
          <w:szCs w:val="20"/>
          <w:color w:val="auto"/>
        </w:rPr>
      </w:pPr>
    </w:p>
    <w:p>
      <w:pPr>
        <w:ind w:left="3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Research and development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expenditures are written off against profits in the year in which it is incurred. Identifiable development expenditure is capitalised to the extent that the technical, commercial and financial feasibility can be demonstrated.</w:t>
      </w:r>
    </w:p>
    <w:p>
      <w:pPr>
        <w:spacing w:after="0" w:line="158" w:lineRule="exact"/>
        <w:rPr>
          <w:sz w:val="20"/>
          <w:szCs w:val="20"/>
          <w:color w:val="auto"/>
        </w:rPr>
      </w:pPr>
    </w:p>
    <w:p>
      <w:pPr>
        <w:ind w:left="3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1.13</w:t>
        <w:tab/>
        <w:t>Segments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been operating as a single segment for financial reporting purposes since its inception. The Chief Operating Decision Maker is the CEO who is responsible for making all decisions regarding the use of capital. Less than 1% of the Company’s total assets are located in Ireland.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ind w:left="3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1.14</w:t>
        <w:tab/>
        <w:t>Revenue</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establishes a five-step model for recognizing revenue arising from contracts with customers. Revenue is recognized when control of promised goods or services is transferred to the customer in an amount that reflects the consideration to which the Company expects to be entitled. The Company generates revenue primarily from licensing arrangements that grant third parties rights to use the Company’s intellectual property (“IP”), which may include proprietary technology, know-how, trademarks, and related platform access. Licensing arrangements may include fixed license fees, minimum guaranteed payments, milestone payments, and sales- or usage-based royalties.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evaluates its contracts using the following steps:</w:t>
      </w:r>
    </w:p>
    <w:p>
      <w:pPr>
        <w:spacing w:after="0" w:line="225" w:lineRule="exact"/>
        <w:rPr>
          <w:sz w:val="20"/>
          <w:szCs w:val="20"/>
          <w:color w:val="auto"/>
        </w:rPr>
      </w:pPr>
    </w:p>
    <w:p>
      <w:pPr>
        <w:ind w:left="680" w:hanging="335"/>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with a customer</w:t>
      </w:r>
    </w:p>
    <w:p>
      <w:pPr>
        <w:spacing w:after="0" w:line="27"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performance obligations in the contract</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performance obligations</w:t>
      </w:r>
    </w:p>
    <w:p>
      <w:pPr>
        <w:spacing w:after="0" w:line="9"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Licensing of Intellectual Property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the nature of licenses granted to determine whether they represent a right to access intellectual property, or a right to use intellectual property as it exists at the point in time the license is granted. Licenses that provide a right to use intellectual property are typically satisfied at a point in time, generally when the license is made available to the licensee and the license period begins. Licenses that provide a right to access intellectual property, where the Company is expected to undertake activities that significantly affect the intellectual property during the license term, are satisfied over time during the license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 License Fees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licensing arrangements include fixed license fees or fixed minimum payments that are contractually payable regardless of the licensee’s future sales or usage. Where the license represents a right to use intellectual property, the fixed license fee is generally recognized at the point in time when the license is transferred to the licensee, provided that collectability of the consideration is probable. Where the license represents a right to access intellectual property, the fixed license fee is recognized over the license period, typically on a straight-line basis or another measure that reflects the pattern of transfer of control. Installment payments of fixed license fees are recognized as revenue when the underlying performance obligation is satisfied, and the Company records a contract asset or receivable when the right to payment becomes unconditional.</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license agreements provide for minimum guaranteed payments, which may be structured as: minimum royalty payments; minimum annual license fees; or advance royalty payments. Minimum guaranteed amounts represent fixed consideration under the contract. These amounts are included in the transaction price at contract inception, subject to the Company’s assessment of collectability. When minimum guaranteed payments relate to a license that is satisfied at a point in time, the minimum guaranteed consideration is recognized when the license is made available to the licensee. When minimum guaranteed payments relate to a license that is satisfied over time, revenue is recognized over the period the license provides access to the intellectual property, unless another pattern better reflects the transfer of the licensed rights. Where minimum guaranteed payments represent advance royalties, such amounts are initially recorded as contract liabilities and recognized as revenue as the underlying performance obligations are satisfied.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Royalties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licensing agreements may include sales-based or usage-based royalties payable by licensees based on the licensee’s sales of products incorporating the Company’s intellectual property or based on other usage metrics. In accordance with the sales- or usage-based royalty exception in IFRS 15, royalty revenue is recognized only when the subsequent sales or usage occur, which is the point at which the uncertainty associated with the variable consideration is resolved. Accordingly, royalty revenue is recognized in the period in which the licensee’s underlying sales or usage occurs, as reported by the licensee. To the extent that minimum guaranteed royalties exceed the royalties earned based on actual sales or usage, the guaranteed amount is recognized as revenue in accordance with the pattern of satisfaction of the underlying license performance obligation. If royalties earned based on actual sales exceed the minimum guaranteed amounts, the excess royalty revenue is recognized in the period in which the underlying sales occur.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Balances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represent the Company’s right to consideration in exchange for goods or services transferred to customers when that right is conditional on something other than the passage of time. Contract liabilities represent payments received in advance of the Company satisfying the related performance obligations, including advances of license fees or royalty payments. Contract liabilities are recognized as revenue when the Company satisfies the associated performance obligations.</w:t>
      </w:r>
    </w:p>
    <w:p>
      <w:pPr>
        <w:spacing w:after="0" w:line="176" w:lineRule="exact"/>
        <w:rPr>
          <w:sz w:val="20"/>
          <w:szCs w:val="20"/>
          <w:color w:val="auto"/>
        </w:rPr>
      </w:pPr>
    </w:p>
    <w:p>
      <w:pPr>
        <w:ind w:left="3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1.15</w:t>
        <w:tab/>
        <w:t>Share-based payments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share-based payment transactions in accordance with IFRS 2 –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Share-based payment transactions occur when the Company receives goods or services as consideration for equity instruments of the Company or for amounts based on the value of the Company’s equity instruments. The Company may grant equity instruments to employees, directors, consultants and other service providers as compensation for services rendered.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Equity-settled share-based payments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Equity-settled share-based payments are measured at the fair value of the equity instruments granted at the grant date.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determined at the grant date is recognized as an expense, together with a corresponding increase in equity, over the vesting period, which represents the period during which the relevant services are rendered. At the end of each reporting period, the Company revises its estimates of the number of equity instruments expected to vest based on the assessment of vesting conditions. The impact of the revision of the original estimates, if any, is recognized in profit or loss such that the cumulative expense reflects the revised estimate.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expense is recognized for awards that do not ultimately vest because non-market vesting conditions have not been satisfied.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Cash-settled share-based payments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cash-settled share-based payment transactions, the Company recognizes a liability for the goods or services acquired.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liability is measured initially and at each reporting date until settlement at the fair value of the liability, with changes in fair value recognized in profit or loss for the period. The liability is recognized over the vesting period, based on the Company’s estimate of the number of awards expected to vest.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Transactions with non-employees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Share-based payments issued to consultants, advisors and other non-employees in exchange for services are measured at the fair value of the goods or services received. If the fair value of the services received cannot be reliably measured, the transaction is measured by reference to the fair value of the equity instruments granted. The fair value of the equity instruments is measured at the date the entity obtains the goods or the counterparty renders the service.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conditions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Vesting conditions may include service conditions or performance conditions. Service conditions require the counterparty to complete a specified period of service. Performance conditions require specified performance targets to be achieved. Where awards vest upon the occurrence of a non-market performance condition, such as the completion of a financing transaction or a successful public listing, expense is recognized only when it becomes probable that the vesting condition will be satisfied. If the vesting condition is not satisfied, no expense is recognized.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 conditions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 conditions are performance conditions related to the market price of the Company’s equity instruments. Market conditions are reflected in the grant-date fair value of the equity instruments granted and are not subsequently adjusted for actual outcomes.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Measurement of fair value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share-based payment awards using appropriate valuation techniques. For option-based awards, the Company typically uses the Black-Scholes option pricing model or other appropriate valuation methodologies. The valuation models incorporate assumptions including:</w:t>
      </w:r>
    </w:p>
    <w:p>
      <w:pPr>
        <w:spacing w:after="0" w:line="176"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expected volatility</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risk-free interest rate</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expected term of the award</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expected dividends.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assumptions are determined using management’s best estimates and observable market data where available.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Share-based payments related to capital markets transactions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issue equity instruments to advisors, consultants or other service providers in connection with capital raising or public listing transactions. Where equity instruments are issued in exchange for advisory or professional services, the transaction is accounted for as an equity-settled share-based payment. If the issuance of equity instruments is contingent upon the successful completion of a transaction, such as a public listing, the Company recognizes expense only when the performance condition has been satisfied. The share-based payment expense is measured at the fair value of the equity instruments issued at the date the condition is satisfied.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Presentation in the consolidated financial statements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Share-based payment expenses are recognized in profit or loss within operating expenses, unless the services received qualify for capitalization as part of the cost of an asset under another IFRS standard. The corresponding credit is recognized within equity, typically within share premium or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Modification, cancellation and settlement of awards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terms of an equity-settled share-based payment arrangement are modified, the Company recognizes, at a minimum, the expense based on the grant-date fair value of the original award. Any incremental fair value granted is recognized over the remaining vesting period. If an award is cancelled or settled during the vesting period, the Company recognizes immediately the amount that would otherwise have been recognized over the remainder of the vesting period.</w:t>
      </w:r>
    </w:p>
    <w:p>
      <w:pPr>
        <w:spacing w:after="0" w:line="176" w:lineRule="exact"/>
        <w:rPr>
          <w:sz w:val="20"/>
          <w:szCs w:val="20"/>
          <w:color w:val="auto"/>
        </w:rPr>
      </w:pPr>
    </w:p>
    <w:p>
      <w:pPr>
        <w:ind w:left="3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1.16</w:t>
        <w:tab/>
        <w:t>Cloud computing arrangements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cloud computing arrangements for infrastructure and application hosting. The Company evaluates these arrangements to determine whether they contain a lease under IFRS 16. If the arrangement does not convey the right to control the use of an identified asset, the arrangement is accounted for as a service contract. Fees paid for cloud infrastructure and software-as-a-service (“SaaS”) solutions are recognized as operating expenses as the services are received. Costs incurred to configure or customize cloud computing arrangements are expensed as incurred unless those costs result in the creation of a separately identifiable intangible asset controlled by the Company. Payments made in advance of the related service period are recognized as prepaid assets and amortized over the service period.</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ind w:left="3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1.17</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financial reporting purposes, fair value measurements are categorized into Level 1, 2 or 3 based on the degree to which inputs to the fair value measurements are observable and the significance of the inputs to the fair value measurement in its entirety, which are described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Level 2: valuation techniques for which the lowest level of inputs which have a significant effect on the recorded fair value are observable, either directly or indirectly.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Level 3: valuation techniques for which the lowest level of inputs that have a significant effect on the recorded fair value are not based on observable market data.</w:t>
      </w:r>
    </w:p>
    <w:p>
      <w:pPr>
        <w:spacing w:after="0" w:line="158" w:lineRule="exact"/>
        <w:rPr>
          <w:sz w:val="20"/>
          <w:szCs w:val="20"/>
          <w:color w:val="auto"/>
        </w:rPr>
      </w:pPr>
    </w:p>
    <w:p>
      <w:pPr>
        <w:ind w:left="500" w:hanging="492"/>
        <w:spacing w:after="0"/>
        <w:tabs>
          <w:tab w:leader="none" w:pos="5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Adoption of new and revised IFRS accounting standards, new accounting policies and changes in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and revised IFRS accounting standards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qualifies as an emerging growth company under the JOBS Act. However, because the Company prepares its consolidated financial statements in accordance with IFRS Accounting Standards as issued by the International Accounting Standards Board, the Company adopts new and amended IFRS Accounting Standards when they become effective under IFRS.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Standards and amendments effective in the current year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following amendments are effective for annual periods beginning on or after January 1, 2025, and have been adopted by the Company: </w:t>
      </w:r>
      <w:r>
        <w:rPr>
          <w:rFonts w:ascii="Times New Roman" w:cs="Times New Roman" w:eastAsia="Times New Roman" w:hAnsi="Times New Roman"/>
          <w:sz w:val="18"/>
          <w:szCs w:val="18"/>
          <w:i w:val="1"/>
          <w:iCs w:val="1"/>
          <w:color w:val="auto"/>
        </w:rPr>
        <w:t>Lack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Exchangeability (Amendments to IAS 21)</w:t>
      </w:r>
      <w:r>
        <w:rPr>
          <w:rFonts w:ascii="Times New Roman" w:cs="Times New Roman" w:eastAsia="Times New Roman" w:hAnsi="Times New Roman"/>
          <w:sz w:val="18"/>
          <w:szCs w:val="18"/>
          <w:color w:val="auto"/>
        </w:rPr>
        <w:t>. These amendments provide guidance for assessing whether a currency is exchangeable into another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when it is not, for determining the exchange rate to be used and related disclosures. The adoption of these amendments did not have a material impact on the Company’s consolidated financial statements.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also considered the continuing application of recently effective amendments, including </w:t>
      </w:r>
      <w:r>
        <w:rPr>
          <w:rFonts w:ascii="Times New Roman" w:cs="Times New Roman" w:eastAsia="Times New Roman" w:hAnsi="Times New Roman"/>
          <w:sz w:val="18"/>
          <w:szCs w:val="18"/>
          <w:i w:val="1"/>
          <w:iCs w:val="1"/>
          <w:color w:val="auto"/>
        </w:rPr>
        <w:t>Classification of Liabilities as Current or Non-current and Non-current Liabilities with Covenants (Amendments to IAS 1), Lease Liability in a Sale and Leaseback (Amendments to IFRS 16), Supplier Finance Arrangements (Amendments to IAS 7 and IFRS 7), and International Tax Reform—Pillar Two Model Rules (Amendments to IAS 12)</w:t>
      </w:r>
      <w:r>
        <w:rPr>
          <w:rFonts w:ascii="Times New Roman" w:cs="Times New Roman" w:eastAsia="Times New Roman" w:hAnsi="Times New Roman"/>
          <w:sz w:val="18"/>
          <w:szCs w:val="18"/>
          <w:color w:val="auto"/>
        </w:rPr>
        <w:t>.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did not have a material impact on the Company’s consolidated financial statements. With respect to Pillar Two, the Company has applied the temporary mandatory exception to recognizing and disclosing deferred tax assets and liabilities related to Pillar Two income taxes. Based on the Company’s current facts and circumstances, management does not expect Pillar Two to have a material impact on the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Standards and amendments issued but not yet effective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standards and amendments have been issued but are not yet effective and have not been early adopted by the Company:</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Amendments to the Classification and Measurement of Financial Instruments (Amendments to IFRS 9 and IFRS 7)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Annual Improvements to IFRS Accounting Standards—Volume 11</w:t>
      </w:r>
      <w:r>
        <w:rPr>
          <w:rFonts w:ascii="Times New Roman" w:cs="Times New Roman" w:eastAsia="Times New Roman" w:hAnsi="Times New Roman"/>
          <w:sz w:val="18"/>
          <w:szCs w:val="18"/>
          <w:color w:val="auto"/>
        </w:rPr>
        <w:t>. These amendments are effective for annual periods beginning on or after January 1, 2026. The Company is assessing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 of these amendments on its consolidated financial statements. Based on its preliminary assessment, the Company does not currently expect a significant impact. However, the Company’s election to account for the $100 million of equity securities to be received as consideration under the licensing agreement has yet to be determined – recording the changes in fair value of the equity securities through earnings (FVPTL) or other comprehensive income (FVOIC). See Note 12 for additional background on the licensing agreement.</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IFRS 18, </w:t>
      </w:r>
      <w:r>
        <w:rPr>
          <w:rFonts w:ascii="Times New Roman" w:cs="Times New Roman" w:eastAsia="Times New Roman" w:hAnsi="Times New Roman"/>
          <w:sz w:val="18"/>
          <w:szCs w:val="18"/>
          <w:i w:val="1"/>
          <w:iCs w:val="1"/>
          <w:color w:val="auto"/>
        </w:rPr>
        <w:t>Presentation and Disclosure in Financial Statements</w:t>
      </w:r>
      <w:r>
        <w:rPr>
          <w:rFonts w:ascii="Times New Roman" w:cs="Times New Roman" w:eastAsia="Times New Roman" w:hAnsi="Times New Roman"/>
          <w:sz w:val="18"/>
          <w:szCs w:val="18"/>
          <w:color w:val="auto"/>
        </w:rPr>
        <w:t xml:space="preserve"> is effective for annual periods beginning on or after January 1, 2027. The Company is evaluating the impact of IFRS 18 on the presentation and disclosure of its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policies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During 2025, the Company entered into certain arrangements involving the issuance of equity instruments to service providers in connection with corporate advisory and capital markets services related to the Company’s proposed NASDAQ direct listing. As a result, the Company adopted an accounting policy for share-based payments in accordance with IFRS 2 –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As of December 31, 2025, certain equity compensation arrangements related to the advisory services were contingent upon the successful completion of the Company’s proposed listing on Nasdaq and therefore no share-based payment expense has been recognized in the accompanying consolidated financial statements. See Note 1.15 Share-based payments for a description of our accounting policy.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2025, the Company entered into an intellectual property licensing arrangement with NeuRX Health Inc. (“NeuRX”) providing for future license and royalty revenues. As a result, the Company adopted an accounting policy for revenue recognition in accordance with IFRS –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See Note 1.14 Revenue recognition for a description of our accounting policy and Note 17 Revenue for information on the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adoption of the policies described above, the accounting policies applied in the preparation of these consolidated financial statements are consistent with those applied in the Company’s consolidated financial statements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 and judgements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application of the Company’s accounting policies, the directors are required to make judgements, estimates and assumptions about the carrying amount of assets and liabilities that are not readily apparent from other sources. In addition, management has exercised judgment in establishing accounting policies related to revenue recognition under the Company’s global licensing arrangement. As no revenue has been recognized to date, this judgment has not had a significant effect on the amounts recognized in the consolidated financial statements as of the reporting date. The estimates and associated assumptions are based on historical experience and other factors that are considered to be relevant. Actual results may differ from these estimates.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accounting estimates are recognised in the period in which the estimate is revised, if the revision affects only that period, or in the period of the revision and future periods if the revision affects both current and future periods.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estimates and assumptions which have a significant risk of causing a material adjustment to the carrying amount of assets and liabilities are outlined below.</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(1) Impairment &amp; useful life determination of indefinite-lived intangible assets</w:t>
      </w:r>
    </w:p>
    <w:p>
      <w:pPr>
        <w:spacing w:after="0" w:line="229"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The Company’s intangible assets include intellectual property (“IP”) rights acquired separately. IP rights assessed as having indefinite useful lives are not amortized in accordance with IAS 38, as there is no foreseeable limit to the period over which they are expected to generate net cash inflows. Management exercised significant judgment in determining that the Company’s intellectual property rights have an indefinite useful life. This assessment considered the nature of the underlying technology platform, the absence of contractual or regulatory limits on its use, the expected product life cycles and anticipated commercialization timelines, as well as the ability to protect, maintain and enhance the technology through ongoing development, trade secrets and follow-on innovations. While certain components of the intellectual property are subject to statutory patent terms, management does not believe these terms, in isolation, impose a foreseeable limit on the period over which the intellectual property is expected to generate economic benefits.</w:t>
      </w:r>
    </w:p>
    <w:p>
      <w:pPr>
        <w:spacing w:after="0" w:line="18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The indefinite useful life assessment is reviewed at least annually and when events or changes in circumstances indicate that the classification may no longer be appropriate. The determination of an indefinite useful life has a significant effect on the consolidated financial statements, as the intellectual property is not amortized and is instead tested for impairment at least annually in accordance with IAS 36. The assumptions used in subsequent impairment assessments under IAS 36 are developed independently from the acquisition date valuation assumptions and reflect updated market and operating conditions.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Indefinite-lived IP rights are tested for impairment annually, or more frequently when indicators of impairment arise, as required by IAS 36. The impairment assessment involves the Company estimating the recoverable amount of the cash-generating unit (“CGU”) to which the IP right belongs. Management exercised significant judgment in identifying appropriate CGU to which the Company’s intellectual property assets are allocated for purposes of impairment testing. The judgement required consideration of how management monitors operations, the extent of interdependence between products and how future cash flows are generated. The determination of the CGU affects the Company’s assessment of impairment of its intangible assets.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also exercised significant judgement in determining key input assumptions for its impairment assessment, including forecasted cash flows, inclusive of revenue growth, the structure of future license arrangements, product launch dates, margins, as well as long-term growth rates and pre-tax discount rates, all that may impact the recoverable amount and could result in the recognition of an impairment loss. Management has determined that, while the recoverable amount of the CGU is sensitive to changes in certain key assumptions, reasonably possible changes in those assumptions, based on management’s assessment, would not be expected to result in the carrying amount of the CGU exceeding its recoverable amount as of the reporting date.</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(2) Going concern basis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has made an assessment of the Company’s ability to continue as a going concern and exercised significant judgment in concluding that the going concern basis of accounting is appropriate. In making this assessment, management considered the Company’s recurring losses, its limited cash balance at year end, its forecasted cash position to meet obligations as they fall due and its dependence on financial support from its principal shareholder and CEO to fund operations. Management also considered the receipt of a letter the Company’s CEO to provide financial support for a period of at least twelve months from the date that these consolidated financial statements are authorized, as well as the expected timing and risk associated with the receipt of cash flows under the NeuRX licensing arrangement and the financing arrangements entered into subsequent to December 31, 2025. Based on all the relevant factors, management has concluded that no material uncertainties exist that would cast significant doubt on the Company’s ability to continue as a going concern.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8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140" w:type="dxa"/>
            <w:vAlign w:val="bottom"/>
            <w:tcBorders>
              <w:top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for the year is stated after charging/(crediting):</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Exchange loss/gains</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8,159</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8"/>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5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average monthly number of people (excluding directors) employed by the Company during the year was:</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7780" w:type="dxa"/>
            <w:vAlign w:val="bottom"/>
          </w:tcPr>
          <w:p>
            <w:pPr>
              <w:spacing w:after="0"/>
              <w:rPr>
                <w:sz w:val="18"/>
                <w:szCs w:val="18"/>
                <w:color w:val="auto"/>
              </w:rPr>
            </w:pPr>
          </w:p>
        </w:tc>
        <w:tc>
          <w:tcPr>
            <w:tcW w:w="1220" w:type="dxa"/>
            <w:vAlign w:val="bottom"/>
            <w:tcBorders>
              <w:top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500" w:hanging="492"/>
        <w:spacing w:after="0"/>
        <w:tabs>
          <w:tab w:leader="none" w:pos="5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tax rate was 0% for the years ended December 31, 2025 and 2024 and can be reconciled to its pre-tax Operating loss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42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9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before taxation</w:t>
            </w:r>
          </w:p>
        </w:tc>
        <w:tc>
          <w:tcPr>
            <w:tcW w:w="46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(823,977)</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(1,320,353)</w:t>
            </w: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Expected tax credit based on a corporation tax rate of 12.50%</w:t>
            </w:r>
          </w:p>
        </w:tc>
        <w:tc>
          <w:tcPr>
            <w:tcW w:w="270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102,997</w:t>
            </w:r>
          </w:p>
        </w:tc>
        <w:tc>
          <w:tcPr>
            <w:tcW w:w="32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165,044</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benefits not recognized</w:t>
            </w:r>
          </w:p>
        </w:tc>
        <w:tc>
          <w:tcPr>
            <w:tcW w:w="46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(102,997)</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(165,044)</w:t>
            </w: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expense, Net deferred tax asset for the year</w:t>
            </w:r>
          </w:p>
        </w:tc>
        <w:tc>
          <w:tcPr>
            <w:tcW w:w="270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53"/>
        </w:trPr>
        <w:tc>
          <w:tcPr>
            <w:tcW w:w="49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3"/>
          </w:tcPr>
          <w:p>
            <w:pPr>
              <w:jc w:val="right"/>
              <w:ind w:right="3760"/>
              <w:spacing w:after="0"/>
              <w:rPr>
                <w:sz w:val="20"/>
                <w:szCs w:val="20"/>
                <w:color w:val="auto"/>
              </w:rPr>
            </w:pPr>
            <w:r>
              <w:rPr>
                <w:rFonts w:ascii="Times New Roman" w:cs="Times New Roman" w:eastAsia="Times New Roman" w:hAnsi="Times New Roman"/>
                <w:sz w:val="18"/>
                <w:szCs w:val="18"/>
                <w:color w:val="auto"/>
              </w:rPr>
              <w:t>F-19</w:t>
            </w: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ind w:right="8620" w:firstLine="8"/>
        <w:spacing w:after="0" w:line="532" w:lineRule="auto"/>
        <w:tabs>
          <w:tab w:leader="none" w:pos="486"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 Acquisition and initial recognition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2023, the Company issued 12,258,458 shares to acquire intellectual property through a related party transaction for €65.0 million. Our CEO, Jack Kaye, was a shareholder and manager of Davion Healthcare Ltd. (Cyprus) and Davion Healthcare Ltd. (U.K.). Given the related party nature of the transaction, management evaluated whether the transaction represented a common control transaction. Although the CEO had an ownership interest in both entities, management concluded that such ownership does not convey control over either entity and control was not held by the same party or group before or after the transaction. Note, the CEO abstained from voting in the transaction.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determined that the transaction represented an asset acquisition rather than a business combination or a share-based payment arrangement. The Company acquired a bundle of identifiable intellectual property rights at a point in time and obtained control over those rights. The seller did not retain any obligation to perform future development activities or provide services to the Company, and the Company assumed full responsibility for completing and commercializing the technology. Management concluded that the transaction had commercial substance and the fair value was reliably measurable. Accordingly, the transaction was accounted for under IAS 38, Intangible Assets, with the acquired intellectual property recognized as an intangible asset upon acquisition.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Consideration of Share-Based Payment Accounting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the appropriate accounting framework, management considered whether the issuance of equity instruments required application of IFRS 2, Share-based Payment. Management concluded that IFRS 2 was not applicable because the transaction did not involve the receipt of goods or services in a compensatory arrangement. The equity instruments were issued as consideration for the acquisition of identifiable intellectual property rights rather than as compensation for services, and the consideration was not contingent upon future performance, vesting conditions, or ongoing involvement by the seller. This determination required significant judgment, particularly given the related-party nature of the transaction and the development status of the intellectual property at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Measurement of Fair Value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 of the acquired intellectual property was measured at fair value at the acquisition date in accordance with IAS 38 and IAS 13. The fair value of the intellectual property was determined at the transaction date using a forward EBITDA market multiple methodology based on normalized cash flows. Such measurement is classified as a Level 3 fair value measurement due to the use of significant unobservable inputs. Significant unobservable inputs include assumptions related to forecasted revenues and EBIT margin, market risk adjusted EBIT multiple and a discount rate appropriate in the circumstance, as follows:</w:t>
      </w:r>
    </w:p>
    <w:p>
      <w:pPr>
        <w:spacing w:after="0" w:line="183"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Model: forecasted 2023- 2028, utilized 3 year run rate December 2025 EBIT applied against an EBITDA multiple and discounted</w:t>
      </w:r>
    </w:p>
    <w:p>
      <w:pPr>
        <w:spacing w:after="0" w:line="26"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Projected 3 year run rate revenue of €72.6 million based on (0.44% annual market penetration of ~400m addressable U.S. and E.U. female population) or 151,375 units per year priced at €40 per unit, resulting in €30.0 million EBIT</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EBITDA Multiple: 6x: 2/3 less than 19x multiple for observed public company comparables for risk</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Discount rate (risk adjusted): 40%, given the nature of risk associated with a pre-revenue company and new product</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December 2025 run rate estimated cash flow and the resulting valuation are reasonable and can be viewed as reliably estimable because the key drivers—price, unit volume, margins and multiples—sit within observable industry ranges, with the main stretch (high EBIT per unit) explicitly compensated by conservative valuation parameters through the reduced/risk adjusted EBITDA multiple and higher discount rate. Overall, management concluded that the estimated fair value was reasonable in the circumstances, for the development stage of the intellectual property and the pre-revenue nature of the Company.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measurement was performed solely to establish the transaction price at initial recognition and does not represent an ongoing fair value measurement. The intellectual property is subsequently accounted for using the cost model under IAS 38 – Intangible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Sensitivity to Key Assumptions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key valuation assumptions, including projected cash flows, discount rates or EBITDA multiple would have an impact on the estimated fair value of the acquired intellectual property. In particular, changes in the discount rate, EBIT margin (result of reduced forecasted revenues or profitability) or EBTIDA multiple applied would impact the estimated fair value. Certain assumptions are interrelated, and changes in one assumption may magnify or offset the effect of changes in another. Changes to the key valuation assumptions utilized, as illustrated below, would produce the hypothetical following ranges of estimated fair value of the transaction:</w:t>
      </w:r>
    </w:p>
    <w:p>
      <w:pPr>
        <w:spacing w:after="0" w:line="183"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3 year run rate EBIT €30M: -/+10%: (€27M = €59M, €33M =€72M)</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EBITDA multiple 6x: -/+ .05%: (5.5x = €60M, 6.5x = €71M)</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Discount rate 40%: -/+ 5%: (35% = €73M, 45% = €59M)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 Acquisition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the acquisition of the intellectual property rights, the Company invested further in the enhancement and development of the intellectual property; however, none of these costs met the recognition criteria under IAS 38 due to there being no active market in accordance with “IAS” 38. These costs primarily related to technical refinement and commercialization readiness. Footflow and ThermaDerm were added to the Company's product portfolio and the regulatory registration for BreastCheck, Testic, Footflow and ThermaDerm was established with the U.S. Food and Drug Administration (FDA), the EU under the CE mark, and the UK Regulatory authority under the UKCA mark, enabling future commercialisation of the related products. In 2025, the Company concluded a licensing agreement with NeuRX for BreastCheck for $220 million over 10 years, which is expected to launch in the second half of 2026. See Note 17 for additional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intellectual property rights at December 31, 2025 and 2024 are as follows: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560" w:type="dxa"/>
            <w:vAlign w:val="bottom"/>
          </w:tcPr>
          <w:p>
            <w:pPr>
              <w:spacing w:after="0"/>
              <w:rPr>
                <w:sz w:val="24"/>
                <w:szCs w:val="24"/>
                <w:color w:val="auto"/>
              </w:rPr>
            </w:pPr>
          </w:p>
        </w:tc>
        <w:tc>
          <w:tcPr>
            <w:tcW w:w="168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Cost</w:t>
            </w:r>
          </w:p>
        </w:tc>
      </w:tr>
      <w:tr>
        <w:trPr>
          <w:trHeight w:val="210"/>
        </w:trPr>
        <w:tc>
          <w:tcPr>
            <w:tcW w:w="9560" w:type="dxa"/>
            <w:vAlign w:val="bottom"/>
          </w:tcPr>
          <w:p>
            <w:pPr>
              <w:spacing w:after="0"/>
              <w:rPr>
                <w:sz w:val="18"/>
                <w:szCs w:val="18"/>
                <w:color w:val="auto"/>
              </w:rPr>
            </w:pPr>
          </w:p>
        </w:tc>
        <w:tc>
          <w:tcPr>
            <w:tcW w:w="158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BreastCheck IP Rights</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60,000,000</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Tricos IP Rights</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Testic IP Rights</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Davion Masks IP Rights</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1,500,000</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Bio-Genex IP Rights</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Merit IP Rights</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0"/>
        </w:trPr>
        <w:tc>
          <w:tcPr>
            <w:tcW w:w="9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Useful life assessment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intellectual property consists of proprietary technologies and related know-how underlying the Company’s testing platform. Management has determined that the intellectual property has an indefinite useful life because there is no foreseeable limit to the period over which the asset is expected to generate economic benefits. While individual patents have finite legal lives, the Company expects to maintain and enhance the underlying technology through continued development, additional patent filings, and proprietary know-how.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assessment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performed its annual impairment assessment using a value-in-use model, which incorporates projected future cash flows that are expected to be generated from licensing revenues and related royalties associated with the Company’s intellectual property that are yet to be launched. The Company’s assessment is based in part on management’s evaluation, which incorporates information derived from a third party valuation prepared for inter management’s internal use, together with externally observable evidence, including the execution of an arm’s length licensing agreement with a third party. While management has applied judgment in assessing the methodologies and assumptions utilized by the third party valuation specialist, the Company does not rely on internal equity valuations, implied market capitalization or internally generated valuation multiples in assessing recoverability.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assumptions for estimating cash flows, discount rates and valuation techniques are solely for purposes of impairment testing under IAS 38 and do not represent a fair valuation measurement under IFRS 13.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2025, the key assumptions used in our discounted cash model included:</w:t>
      </w:r>
    </w:p>
    <w:p>
      <w:pPr>
        <w:spacing w:after="0" w:line="225" w:lineRule="exact"/>
        <w:rPr>
          <w:sz w:val="20"/>
          <w:szCs w:val="20"/>
          <w:color w:val="auto"/>
        </w:rPr>
      </w:pPr>
    </w:p>
    <w:p>
      <w:pPr>
        <w:ind w:left="660" w:hanging="328"/>
        <w:spacing w:after="0" w:line="260" w:lineRule="auto"/>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management’s projected cash flows for the period 2026 through 2031, including revenues and operating margins from contractual license terms and expected future product launches.</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terminal value calculated using a 2.5x EBIT multiple</w:t>
      </w:r>
    </w:p>
    <w:p>
      <w:pPr>
        <w:spacing w:after="0" w:line="8" w:lineRule="exact"/>
        <w:rPr>
          <w:rFonts w:ascii="Arial" w:cs="Arial" w:eastAsia="Arial" w:hAnsi="Arial"/>
          <w:sz w:val="18"/>
          <w:szCs w:val="18"/>
          <w:b w:val="1"/>
          <w:bCs w:val="1"/>
          <w:color w:val="auto"/>
        </w:rPr>
      </w:pPr>
    </w:p>
    <w:p>
      <w:pPr>
        <w:ind w:left="660" w:hanging="328"/>
        <w:spacing w:after="0" w:line="259" w:lineRule="auto"/>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progressively increasing discount rate reflecting the early-stage nature and risk of the Company’s product commercialization strategy 30% - 47.5%.</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impairment test requires management to make significant estimates and assumptions regarding projected cash flows, inclusive of product commercialization timelines, expected market penetration, licensing revenue growth, royalty structures, as well as risk adjusted discount rates reflecting the risk profile of the business. The finalization of the NeuRX license agreement in 2025 provides commercial support for management’s forecasts, however, actual results could differ from these estimates and assumptions.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performed sensitivity analysis on the underlying key assumptions related to the projected cash flows and the risk adjusted discount rates. Management has determined that, while the recoverable amount of the CGU is sensitive to changes in certain key assumptions, reasonably possible changes in those assumptions, based on management’s assessment, would not be expected to result in the carrying amount of the CGU exceeding its recoverable amount as of the reporting date. Based on the impairment testing performed, the recoverable amount of the intellectual property exceeded the carrying amount of the intellectual property at December 31, 2025. Accordingly, no indicators of impairment were identified and as a result, no impairment loss was recorded at December 31, 2025 and 2024.</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Credit risk arises when a failure by counterparties to discharge their obligations could reduce the amount of future cash inflows from financial assets on hand at the reporting date. The Company has policies in place to ensure that intellectual property licenses are made to customers with an appropriate credit history and monitors on a continuous basis the ageing profile of its receivables. Cash balances are held with high credit quality financial institutions, and the Company has policies to limit the amount of credit exposure to any financial institution.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detailed below, the carrying amount of financial assets recorded in the consolidated financial statements, which is net of impairment losses, if any, represents the Company’s maximum exposure to credit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Maximum credit risk</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2"/>
        </w:trPr>
        <w:tc>
          <w:tcPr>
            <w:tcW w:w="7660" w:type="dxa"/>
            <w:vAlign w:val="bottom"/>
          </w:tcPr>
          <w:p>
            <w:pPr>
              <w:spacing w:after="0"/>
              <w:rPr>
                <w:sz w:val="20"/>
                <w:szCs w:val="20"/>
                <w:color w:val="auto"/>
              </w:rPr>
            </w:pPr>
          </w:p>
        </w:tc>
        <w:tc>
          <w:tcPr>
            <w:tcW w:w="10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194"/>
        </w:trPr>
        <w:tc>
          <w:tcPr>
            <w:tcW w:w="7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8740" w:type="dxa"/>
            <w:vAlign w:val="bottom"/>
            <w:gridSpan w:val="2"/>
            <w:shd w:val="clear" w:color="auto" w:fill="CCEEFF"/>
          </w:tcPr>
          <w:p>
            <w:pPr>
              <w:jc w:val="right"/>
              <w:ind w:right="6750"/>
              <w:spacing w:after="0"/>
              <w:rPr>
                <w:sz w:val="20"/>
                <w:szCs w:val="20"/>
                <w:color w:val="auto"/>
              </w:rPr>
            </w:pPr>
            <w:r>
              <w:rPr>
                <w:rFonts w:ascii="Times New Roman" w:cs="Times New Roman" w:eastAsia="Times New Roman" w:hAnsi="Times New Roman"/>
                <w:sz w:val="18"/>
                <w:szCs w:val="18"/>
                <w:color w:val="auto"/>
                <w:w w:val="99"/>
              </w:rPr>
              <w:t>Cash and cash equivalents</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1,058</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hold any collateral or other credit enhancements to cover this credit risk.</w:t>
      </w:r>
    </w:p>
    <w:p>
      <w:pPr>
        <w:spacing w:after="0" w:line="200" w:lineRule="exact"/>
        <w:rPr>
          <w:sz w:val="20"/>
          <w:szCs w:val="20"/>
          <w:color w:val="auto"/>
        </w:rPr>
      </w:pPr>
    </w:p>
    <w:p>
      <w:pPr>
        <w:spacing w:after="0" w:line="237" w:lineRule="exact"/>
        <w:rPr>
          <w:sz w:val="20"/>
          <w:szCs w:val="20"/>
          <w:color w:val="auto"/>
        </w:rPr>
      </w:pPr>
    </w:p>
    <w:p>
      <w:pPr>
        <w:ind w:right="8460" w:firstLine="8"/>
        <w:spacing w:after="0" w:line="503" w:lineRule="auto"/>
        <w:tabs>
          <w:tab w:leader="none" w:pos="486"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receivables - credit risk Fair value of trade receivables</w:t>
      </w:r>
    </w:p>
    <w:p>
      <w:pPr>
        <w:spacing w:after="0"/>
        <w:rPr>
          <w:sz w:val="20"/>
          <w:szCs w:val="20"/>
          <w:color w:val="auto"/>
        </w:rPr>
      </w:pPr>
      <w:r>
        <w:rPr>
          <w:rFonts w:ascii="Times New Roman" w:cs="Times New Roman" w:eastAsia="Times New Roman" w:hAnsi="Times New Roman"/>
          <w:sz w:val="18"/>
          <w:szCs w:val="18"/>
          <w:color w:val="auto"/>
        </w:rPr>
        <w:t>The directors consider that the carrying amount of trade and other receivables is approximately equal to their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significant receivable balances are impaired at the reporting end dates.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right="4120" w:firstLine="8"/>
        <w:spacing w:after="0" w:line="537" w:lineRule="auto"/>
        <w:tabs>
          <w:tab w:leader="none" w:pos="486"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Advances from related parties Non-current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 held at amortized cost: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Advances from related 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32"/>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r>
      <w:tr>
        <w:trPr>
          <w:trHeight w:val="410"/>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907,671</w:t>
            </w:r>
          </w:p>
        </w:tc>
        <w:tc>
          <w:tcPr>
            <w:tcW w:w="16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-162560</wp:posOffset>
            </wp:positionV>
            <wp:extent cx="713232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940" w:space="720"/>
            <w:col w:w="3580"/>
          </w:cols>
          <w:pgMar w:left="320" w:top="792"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Jack Kaye, the Company’s Chief Executive Officer, has paid on behalf of the Company costs totaling €0.9 million in 2025 (2024: €0.1 million) in order for the Company to meet its obligations. Management has classified these advances, which are paid directly to vendors, within operations due to the nature of the transaction and represent non cash advances to the Company, with limited amounts representing cash financing activities. These advances are non-interest bearing and repayable only if, and when, the Company is able to do so.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2024, €4.6 million of advances payable to Jack Kaye were converted to ordinary shares at a conversion ratio of 1 ordinary share for the equivalent of every $10 owed. Other creditors also converted amounts owed to them to equity on the same ratio, leaving a balance of €39,756 in Trade and other payables on the Consolidated Statement of Financial Position as of December 31, 2024. Included in the balance is €30,804 owed to Jack Kaye. See Note 21 Related party transactions for additional information.</w:t>
      </w:r>
    </w:p>
    <w:p>
      <w:pPr>
        <w:spacing w:after="0" w:line="39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Fair value of financial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directors consider that the carrying amounts of financial liabilities carried at amortized cost in the consolidated financial statements approximate their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Liquidity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 risk is the risk that arises when the maturity of assets and liabilities does not match. An unmatched position potentially enhances profitability, but can also increase the risk of losses. The Board of Directors has procedures with the object of minimizing such losses such as maintaining sufficient cash and other highly liquid current assets and by having the ability to receive advances from related parties and/or an adequate amount of committed credit facilities.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remaining contractual maturity for the Company’s financial liabilities with agreed repayment periods. The contractual maturity is based on the earliest date on which the Company may be required to pay.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6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10"/>
        </w:trPr>
        <w:tc>
          <w:tcPr>
            <w:tcW w:w="956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related parties</w:t>
            </w:r>
          </w:p>
        </w:tc>
        <w:tc>
          <w:tcPr>
            <w:tcW w:w="168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956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related parties</w:t>
            </w:r>
          </w:p>
        </w:tc>
        <w:tc>
          <w:tcPr>
            <w:tcW w:w="168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Market risk management</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geopolitical situation in Eastern Europe intensified on February 24, 2022, with the commencement of the conflict between Russia and Ukraine. As at the date of authorizing these consolidated financial statements for issue, the conflict continues to evolve as military activity proceeds. In addition to the impact of these events on entities that have operations in Russia, Ukraine, or Belarus or that conduct business with counterparties in those jurisdictions, the conflict has affected economies and financial markets globally and has exacerbated ongoing macroeconomic challenges.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European Union, as well as the United States of America, Switzerland, the United Kingdom and other countries, have imposed a series of restrictive measures (sanctions) against the Russian and Belarusian governments, various companies, and certain individuals. These sanctions include asset freezes and prohibitions from making funds available to sanctioned individuals and entities. In addition, travel bans applicable to sanctioned individuals prevent them from entering or transiting through the relevant territories. The Republic of Cyprus has adopted United Nations and European Union measures. The continuing evolution of the conflict may lead to the possibility of additional sanctions or other regulatory actions in the future.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Emerging uncertainty regarding the global supply of commodities as a result of the conflict between Russia and Ukraine may also disrupt global trade flows and place upward pressure on commodity prices and input costs. Challenges for companies may include reduced availability of funding to ensure access to raw materials, increased financing costs, heightened counterparty risk and the potential for contractual non-performance.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Geopolitical tensions in the Middle East have also intensified in recent years. The Israel-Gaza conflict escalated significantly after Hamas launched a major attack on Israel on October 7, 2023. More recently, during 2026, hostilities in the region have further expanded following military confrontations involving Iran, Israel and the United States. In February 2026, coordinated military strikes by Israel and the United States against targets in Iran led to retaliatory actions by Iran across the region, contributing to a broader regional security crisis and disruption to shipping routes and energy markets.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developments have increased uncertainty in global financial markets and may affect international trade, energy supply chains and global commodity prices. In particular, tensions affecting key maritime transit routes in the Middle East, including the Strait of Hormuz, have contributed to volatility in global oil and gas markets and heightened geopolitical risk for international commerce. Entities with material subsidiaries, operations, investments, contractual arrangements or joint ventures in the affected regions may be significantly exposed to operational disruptions, financial market volatility and supply chain interruptions. Entities that do not have direct exposure to the Middle East may nevertheless be affected by broader economic consequences, including increased volatility in global energy prices, foreign exchange markets and capital markets.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no direct exposure to Russia, Ukraine or Belarus and does not maintain operations, investments, or counterparties in Israel, Gaza, Iran or other jurisdictions directly involved in the ongoing conflicts. Accordingly, the Company does not expect a significant impact arising from direct exposures to these countries. Despite the limited direct exposure, the conflicts may negatively impact the broader European and global economy. In particular, geopolitical instability may adversely affect the tourism and services industries in Cyprus. Furthermore, increasing energy prices, fluctuations in foreign exchange rates, volatility in financial markets, rising interest rates, supply chain disruptions and inflationary pressures may indirectly impact the operations of the Company. The indirect implications will depend on the extent and duration of these geopolitical developments and remain uncertain.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has considered the unique circumstances and the risk exposures of the Company and has concluded that, as of the date of authorization of these consolidated financial statements, there has been no material impact on the Company’s financial position or results of operations. However, due to the evolving nature of these geopolitical events and the high degree of uncertainty surrounding their potential economic effects, management will continue to monitor developments closely and will assess the need for further action should the situation materially change.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Trade and other payables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payables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payables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Accruals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24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Share capital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hanging="3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Ordinary share capital authorised </w:t>
      </w:r>
      <w:r>
        <w:rPr>
          <w:rFonts w:ascii="Times New Roman" w:cs="Times New Roman" w:eastAsia="Times New Roman" w:hAnsi="Times New Roman"/>
          <w:sz w:val="18"/>
          <w:szCs w:val="18"/>
          <w:color w:val="auto"/>
        </w:rPr>
        <w:t>Par value of €.01</w:t>
      </w:r>
    </w:p>
    <w:p>
      <w:pPr>
        <w:spacing w:after="0" w:line="222" w:lineRule="exact"/>
        <w:rPr>
          <w:sz w:val="20"/>
          <w:szCs w:val="20"/>
          <w:color w:val="auto"/>
        </w:rPr>
      </w:pPr>
    </w:p>
    <w:p>
      <w:pPr>
        <w:jc w:val="right"/>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Issued and fully paid </w:t>
      </w:r>
      <w:r>
        <w:rPr>
          <w:rFonts w:ascii="Times New Roman" w:cs="Times New Roman" w:eastAsia="Times New Roman" w:hAnsi="Times New Roman"/>
          <w:sz w:val="18"/>
          <w:szCs w:val="18"/>
          <w:color w:val="auto"/>
        </w:rPr>
        <w:t>Par value of €.01</w:t>
      </w:r>
    </w:p>
    <w:p>
      <w:pPr>
        <w:spacing w:after="0" w:line="20" w:lineRule="exact"/>
        <w:rPr>
          <w:sz w:val="20"/>
          <w:szCs w:val="20"/>
          <w:color w:val="auto"/>
        </w:rPr>
      </w:pPr>
      <w:r>
        <w:rPr>
          <w:sz w:val="20"/>
          <w:szCs w:val="20"/>
          <w:color w:val="auto"/>
        </w:rPr>
        <w:br w:type="column"/>
      </w:r>
    </w:p>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37"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4600" w:type="dxa"/>
        <w:tblCellMar>
          <w:top w:w="0" w:type="dxa"/>
          <w:left w:w="0" w:type="dxa"/>
          <w:bottom w:w="0" w:type="dxa"/>
          <w:right w:w="0" w:type="dxa"/>
        </w:tblCellMar>
      </w:tblPr>
      <w:tr>
        <w:trPr>
          <w:trHeight w:val="238"/>
        </w:trPr>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191"/>
        </w:trPr>
        <w:tc>
          <w:tcPr>
            <w:tcW w:w="15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6"/>
                <w:szCs w:val="16"/>
                <w:color w:val="auto"/>
              </w:rPr>
            </w:pPr>
          </w:p>
        </w:tc>
        <w:tc>
          <w:tcPr>
            <w:tcW w:w="15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r>
      <w:tr>
        <w:trPr>
          <w:trHeight w:val="216"/>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17,174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2,952</w:t>
            </w:r>
          </w:p>
        </w:tc>
      </w:tr>
      <w:tr>
        <w:trPr>
          <w:trHeight w:val="216"/>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71,337</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w:t>
            </w:r>
          </w:p>
        </w:tc>
      </w:tr>
      <w:tr>
        <w:trPr>
          <w:trHeight w:val="234"/>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30,804</w:t>
            </w:r>
          </w:p>
        </w:tc>
      </w:tr>
      <w:tr>
        <w:trPr>
          <w:trHeight w:val="209"/>
        </w:trPr>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88,511</w:t>
            </w:r>
          </w:p>
        </w:tc>
        <w:tc>
          <w:tcPr>
            <w:tcW w:w="320" w:type="dxa"/>
            <w:vAlign w:val="bottom"/>
          </w:tcPr>
          <w:p>
            <w:pPr>
              <w:spacing w:after="0"/>
              <w:rPr>
                <w:sz w:val="18"/>
                <w:szCs w:val="18"/>
                <w:color w:val="auto"/>
              </w:rPr>
            </w:pPr>
          </w:p>
        </w:tc>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39,756</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-582295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-307975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0" w:lineRule="exact"/>
        <w:rPr>
          <w:sz w:val="20"/>
          <w:szCs w:val="20"/>
          <w:color w:val="auto"/>
        </w:rPr>
      </w:pPr>
    </w:p>
    <w:tbl>
      <w:tblPr>
        <w:tblLayout w:type="fixed"/>
        <w:tblInd w:w="4600" w:type="dxa"/>
        <w:tblCellMar>
          <w:top w:w="0" w:type="dxa"/>
          <w:left w:w="0" w:type="dxa"/>
          <w:bottom w:w="0" w:type="dxa"/>
          <w:right w:w="0" w:type="dxa"/>
        </w:tblCellMar>
      </w:tblPr>
      <w:tr>
        <w:trPr>
          <w:trHeight w:val="238"/>
        </w:trPr>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191"/>
        </w:trPr>
        <w:tc>
          <w:tcPr>
            <w:tcW w:w="15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6"/>
                <w:szCs w:val="16"/>
                <w:color w:val="auto"/>
              </w:rPr>
            </w:pPr>
          </w:p>
        </w:tc>
        <w:tc>
          <w:tcPr>
            <w:tcW w:w="15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r>
      <w:tr>
        <w:trPr>
          <w:trHeight w:val="216"/>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65,337</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 w:type="dxa"/>
            <w:vAlign w:val="bottom"/>
          </w:tcPr>
          <w:p>
            <w:pPr>
              <w:spacing w:after="0"/>
              <w:rPr>
                <w:sz w:val="20"/>
                <w:szCs w:val="20"/>
                <w:color w:val="auto"/>
              </w:rPr>
            </w:pPr>
          </w:p>
        </w:tc>
      </w:tr>
      <w:tr>
        <w:trPr>
          <w:trHeight w:val="210"/>
        </w:trPr>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71,337</w:t>
            </w:r>
          </w:p>
        </w:tc>
        <w:tc>
          <w:tcPr>
            <w:tcW w:w="32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 w:type="dxa"/>
            <w:vAlign w:val="bottom"/>
            <w:tcBorders>
              <w:top w:val="single" w:sz="8" w:color="auto"/>
              <w:bottom w:val="single" w:sz="8" w:color="auto"/>
            </w:tcBorders>
          </w:tcPr>
          <w:p>
            <w:pPr>
              <w:spacing w:after="0"/>
              <w:rPr>
                <w:sz w:val="18"/>
                <w:szCs w:val="18"/>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-445135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-170815</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780" w:type="dxa"/>
        <w:tblCellMar>
          <w:top w:w="0" w:type="dxa"/>
          <w:left w:w="0" w:type="dxa"/>
          <w:bottom w:w="0" w:type="dxa"/>
          <w:right w:w="0" w:type="dxa"/>
        </w:tblCellMar>
      </w:tblPr>
      <w:tr>
        <w:trPr>
          <w:trHeight w:val="238"/>
        </w:trPr>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32"/>
        </w:trPr>
        <w:tc>
          <w:tcPr>
            <w:tcW w:w="16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20"/>
                <w:szCs w:val="20"/>
                <w:color w:val="auto"/>
              </w:rPr>
            </w:pP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20" w:type="dxa"/>
            <w:vAlign w:val="bottom"/>
          </w:tcPr>
          <w:p>
            <w:pPr>
              <w:spacing w:after="0"/>
              <w:rPr>
                <w:sz w:val="20"/>
                <w:szCs w:val="20"/>
                <w:color w:val="auto"/>
              </w:rPr>
            </w:pPr>
          </w:p>
        </w:tc>
        <w:tc>
          <w:tcPr>
            <w:tcW w:w="15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5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r>
      <w:tr>
        <w:trPr>
          <w:trHeight w:val="437"/>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3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320" w:type="dxa"/>
            <w:vAlign w:val="bottom"/>
          </w:tcPr>
          <w:p>
            <w:pPr>
              <w:spacing w:after="0"/>
              <w:rPr>
                <w:sz w:val="24"/>
                <w:szCs w:val="24"/>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r>
      <w:tr>
        <w:trPr>
          <w:trHeight w:val="20"/>
        </w:trPr>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655"/>
        </w:trPr>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25,000,000</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25,000,000</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r>
      <w:tr>
        <w:trPr>
          <w:trHeight w:val="20"/>
        </w:trPr>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-770890</wp:posOffset>
            </wp:positionV>
            <wp:extent cx="7132320" cy="3003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-316865</wp:posOffset>
            </wp:positionV>
            <wp:extent cx="7132320" cy="3003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440"/>
            <w:col w:w="8180"/>
          </w:cols>
          <w:pgMar w:left="320" w:top="792"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and Fully Paid</w:t>
            </w: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7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25,000,000</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20,000,000</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r>
      <w:tr>
        <w:trPr>
          <w:trHeight w:val="209"/>
        </w:trPr>
        <w:tc>
          <w:tcPr>
            <w:tcW w:w="7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29, 2022, the Company was formed with an initial issuance of 12,258,458 shares of stock at € .01 par value for a total of € 122,585.</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2023, the Company exchanged the outstanding 12,258,458 shares of stock in exchange for the purchase of intangible assets valued at €65,000,000 and issued an additional 7,741,542 shares of stock at €.01 par value for a total of €77,415.</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2024, the Company issued 4,401,800 shares of stock to various creditors and shareholders in exchange of amounts due to them of €919,663 and issued 598,246 shares of stock to its officers in exchange for amounts due to them of €5,600,000.</w:t>
      </w:r>
    </w:p>
    <w:p>
      <w:pPr>
        <w:sectPr>
          <w:pgSz w:w="11900" w:h="16838" w:orient="portrait"/>
          <w:cols w:equalWidth="0" w:num="1">
            <w:col w:w="11240"/>
          </w:cols>
          <w:pgMar w:left="320" w:top="792"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not subject to any externally imposed capital requirements.</w:t>
      </w:r>
    </w:p>
    <w:p>
      <w:pPr>
        <w:spacing w:after="0" w:line="23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Share premium account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listing of ordinary shares in the United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191"/>
        </w:trPr>
        <w:tc>
          <w:tcPr>
            <w:tcW w:w="15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6"/>
                <w:szCs w:val="16"/>
                <w:color w:val="auto"/>
              </w:rPr>
            </w:pPr>
          </w:p>
        </w:tc>
        <w:tc>
          <w:tcPr>
            <w:tcW w:w="15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6"/>
                <w:szCs w:val="16"/>
                <w:color w:val="auto"/>
              </w:rPr>
            </w:pPr>
          </w:p>
        </w:tc>
      </w:tr>
      <w:tr>
        <w:trPr>
          <w:trHeight w:val="234"/>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71,347,078</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64,877,415</w:t>
            </w:r>
          </w:p>
        </w:tc>
      </w:tr>
    </w:tbl>
    <w:p>
      <w:pPr>
        <w:ind w:left="1500"/>
        <w:spacing w:after="0"/>
        <w:rPr>
          <w:sz w:val="20"/>
          <w:szCs w:val="20"/>
          <w:color w:val="auto"/>
        </w:rPr>
      </w:pPr>
      <w:r>
        <w:rPr>
          <w:rFonts w:ascii="Times New Roman" w:cs="Times New Roman" w:eastAsia="Times New Roman" w:hAnsi="Times New Roman"/>
          <w:sz w:val="18"/>
          <w:szCs w:val="18"/>
          <w:color w:val="auto"/>
        </w:rPr>
        <w:t>–6,469,663</w:t>
      </w:r>
    </w:p>
    <w:p>
      <w:pPr>
        <w:spacing w:after="0" w:line="2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71,347,07871,347,078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22028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663" w:lineRule="exact"/>
        <w:rPr>
          <w:sz w:val="20"/>
          <w:szCs w:val="20"/>
          <w:color w:val="auto"/>
        </w:rPr>
      </w:pPr>
    </w:p>
    <w:p>
      <w:pPr>
        <w:sectPr>
          <w:pgSz w:w="11900" w:h="16838" w:orient="portrait"/>
          <w:cols w:equalWidth="0" w:num="2">
            <w:col w:w="6940" w:space="720"/>
            <w:col w:w="3580"/>
          </w:cols>
          <w:pgMar w:left="320" w:top="792" w:right="339" w:bottom="1440" w:gutter="0" w:footer="0" w:header="0"/>
          <w:type w:val="continuous"/>
        </w:sectPr>
      </w:pPr>
    </w:p>
    <w:p>
      <w:pPr>
        <w:spacing w:after="0" w:line="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2025, the Company filed a registration statement with the United States Securities &amp; Exchange Commission to list its 25 million outstanding ordinary shares on Nasdaq’s Global Market, solely to permit its registered shareholders the ability to trade their shares in the United States. The registered shareholders may or may not, elect to sell their ordinary shares covered by the registration statement, as and to the extent they determine. The Company will receive no proceeds from the direct listing and the Company’s registration statement became effective on November 28, 2025. As such, the Company is subject to the reporting requirements under the Securities &amp; Exchange Commission as a foreign private issue but is still awaiting clearance from Nasdaq to be listed.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the Company entered into an advisory agreement in connection with its proposed Nasdaq direct listing. Under the terms of the agreement, upon the successful completion of the listing, the advisor is entitled to receive 125,000 ordinary shares of the Company and a cash fee of $200,000 plus reimbursable expenses up to $100,000. The share issuance represents a potential equity-settled share-based payment within the scope of IFRS 2 – Share-based Payment. Because the issuance of shares is contingent upon the successful completion of the listing, the performance condition has not been satisfied as of December 31, 2025, and therefore no share-based payment expense has been recognized in the accompanying consolidated financial statements. The Company will measure the transaction at the fair value of the shares issued on the listing date when the listing occurs.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licensing arrangement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8, 2025, Davion Healthcare Plc entered into a Global Manufacturing and Distribution Agreement with NeuRX Health Inc. (“NeuRX”) granting it an exclusive worldwide license to manufacture, market, distribute and sell the Company’s BreastCheck test product. The Company retains ownership of the intellectual property and provides ongoing access to its proprietary test portal platform used for interrogation of test results and recording of customer data. Davion has the right to terminate the agreement if NeuRX fails to cure a late payment after a 30 day notice or other breaches after a 60 day notice. In December 2025 the parties amended the agreement to revise the expected commercial launch date and commencement of contractual payments to July 2026. Accordingly, there was no revenue recognized during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License Consideration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license consideration of $120 million consists of:</w:t>
      </w:r>
    </w:p>
    <w:p>
      <w:pPr>
        <w:spacing w:after="0" w:line="22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$1 million payable upon commercial launch in July 2026</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5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$19 million payable in twelve monthly installments beginning July 2026</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5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$100 million payable in ten annual installments of $10 million each beginning January 2027.</w:t>
      </w:r>
    </w:p>
    <w:p>
      <w:pPr>
        <w:spacing w:after="0" w:line="206" w:lineRule="exact"/>
        <w:rPr>
          <w:sz w:val="20"/>
          <w:szCs w:val="20"/>
          <w:color w:val="auto"/>
        </w:rPr>
      </w:pPr>
    </w:p>
    <w:p>
      <w:pPr>
        <w:ind w:right="1640"/>
        <w:spacing w:after="0" w:line="282" w:lineRule="auto"/>
        <w:rPr>
          <w:sz w:val="20"/>
          <w:szCs w:val="20"/>
          <w:color w:val="auto"/>
        </w:rPr>
      </w:pPr>
      <w:r>
        <w:rPr>
          <w:rFonts w:ascii="Times New Roman" w:cs="Times New Roman" w:eastAsia="Times New Roman" w:hAnsi="Times New Roman"/>
          <w:sz w:val="18"/>
          <w:szCs w:val="18"/>
          <w:color w:val="auto"/>
        </w:rPr>
        <w:t>The Company expects the $100 million portion to be settled through issuance of NeuRX equity securities with a value of $10 million per issuance.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Royalty structure NeuRX will pay:</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$5 per BreastCheck unit manufactured</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5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minimum royalties of $10 million per Contract Year ($100 million over 10 years)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5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50% of net revenue from follow-on tests purchased by returning customers.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determined the arrangement contains a single performance obligation consisting of the BreastCheck intellectual property license and ongoing access to the test portal platform. Although the intellectual property license is capable of being distinct, the Company concluded that the license and the portal platform are separately identifiable within the context of the contract because the license does not provide stand-alone utility to NeuRX without the portal, which is required for the functionality of the product and to comply with applicable regulatory requirements. Accordingly, the license and platform services are highly interdependent and represent a combined output for which the customer received benefit only from the integrated arrangement. The combined performance obligation represents a right-to-access arrangement, as the Company is required to provide on-going access to the portal platform and platform activities that significantly affect the utility of the intellectual property throughout the license period. As a result, the performance obligation is satisfied over time, and revenue is recognized on a straight-line basis beginning when commercial operations commence. The transaction price for the arrangement is $220 million and includes fixed license fees and minimum guaranteed royalty payments that are unconditional and payable regardless of NeuRX’s sales volumes. Because the minimum royalty payments are not contingent on future sales or usage and represent consideration to which the Company expects to be entitled, they are included in the transaction price and recognized over the service period. Royalties in excess of the $10 million annual minimum guarantee are variable consideration that relate predominantly to the license of intellectual property and will be recognized as revenue only when the underlying sales occur, consistent with the sales royalty guidance.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for Equity Consideration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$100 million component of license consideration is expected to be received in freely traded NeuRX shares (or other acceptable NeuRX affiliate shares). The equity consideration represents non-cash consideration and will be measured at fair value on the date the shares are issued based on quoted market prices – a Level 1 fair value measurement. The fair value of each annual tranche of $10 million will be included in the transaction price and recognized in accordance with the Company’s revenue recognition policy.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Liabilities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equity consideration received prior to revenue recognition are recorded as contract liabilities. These balances are recognized as revenue over the service period.</w:t>
      </w:r>
    </w:p>
    <w:p>
      <w:pPr>
        <w:spacing w:after="0" w:line="15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Earnings per share was €(0.03) and €(0.06) for the years ended December 31, 2025 and 2024, respectively, with average shares outstanding of 25,000,000 and 22,909,836, respectively for each period. There are 125,000 ordinary shares that are contingently issuable upon completion of the Company’s Nasdaq listing. As the listing had not occurred as of December 31, 2025, these shares have been excluded from the calculation of basic and diluted earnings per share in accordance with IAS 33. There were no dilutive shares outstanding during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Events after the reporting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Davion Healthcare Corporation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January 1, 2026, the Company acquired 100% of the outstanding equity interests of Davion Healthcare Corporation, an entity wholly owned by the Company’s Chief Executive Officer, for nominal consideration of $1. Management evaluated the transaction under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determined that the acquired entity did not meet the definition of a business, as it did not include substantive processes capable of producing outputs. The acquired entity’s assets consisted solely of $445,000 of cash and its liabilities consisted of a $445,000 related party advance to the CEO, payable on demand and is non-interest bearing, and therefore the nominal purchase price reflected the entity’s equity value.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 acquired entity contained only financial assets and financial liabilities and no substantive operations, the transaction was accounted for as the acquisition of a group of assets and liabilities rather than a business. The assets acquired and liabilities assumed were recognized at their respective carrying amounts, which approximate fair value, and the related-party advance remained an obligation of the acquired entity following the acquisition.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acquired entity was wholly owned by the Company’s Chief Executive Officer, management concluded the entities were not under common control, as the Chief Executive Officer does not control the Company within the meaning of IFRS 10, but instead only is able to exercise significant influence through his voting control of 41% of the ordinary shares of Davion. The transaction therefore represents a related-party transaction under IAS 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2026, the Company entered into a financial advisory agreement that requires a 6% fee on future capital raising transactions and the issuance of 100,000 ordinary shares upon the Company being listing on any major U.S. exchange. The agreement has a minimum term of 120 days plus a 12 month tail on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Convertible note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10, 2026, the Company received $1,500,000 of cash related to the issuance of a $1,655,000 secured promissory note (“the Note”) that matures six months from the date of issuance, at a 9% interest rate. The Company has three options to extend the maturity date through June 2027 for an additional fee. The Note is convertible into ordinary shares at a fixed price of $12.36 per share at the holder’s option anytime. The Note may be prepaid at a premium of 115% of the outstanding balance subject to Company not being in default. The Company is required to paydown the Note with 20% of any fundraising proceeds up to the maximum amount outstanding. The Note is secured by a security interest in certain intellectual property. Additionally, the investor received 200,000 warrants subject to the following conditions: i) a term of 12 months from the effective date of the Company’s listing on Nasdaq, ii) at an exercise price of $13.00 and iii) exercisable for cash only. The Company is required to register ordinary shares sufficient to cover the full conversion of the Note at the fixed price plus the shares underlying the warrants or approximately 139,925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Term Loan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24, 2026 the Company entered into an irrevocable committed term loan facility of up to $2.0 million for a one year period from the date of the Company being listed on Nasdaq (“the availability period”). During the availability period, at the Company’s discretion, it can make draws at a minimum of $250,000 tranches and repay such draws within 15 months, at a rate of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8"/>
          <w:szCs w:val="18"/>
          <w:b w:val="1"/>
          <w:bCs w:val="1"/>
          <w:color w:val="auto"/>
        </w:rPr>
        <w:t>Commitments &amp;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Infrastructure &amp; software license and development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Company’s license agreement with NeuRX, the Company is required to provide and maintain a secure test portal and customer database that licensees must use in order for their customers to utilize our products. In September 2025, the Company entered into an infrastructure, software and services agreement related to its test portal to support the launch of BreastCheck in 2026 for $0.7 million, subject to annual renewals. Service fees after August 2026 will depend on the nature of services needed to support the Company’s on-going requirements over the ten-year license period with NeuRX.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listing advisory fees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Company being listed on Nasdaq it is obligated to pay its direct listing advisor certain fees, including 125,000 ordinary shares at ~$12 per share (estimated listing price) and cash fees of $200,000 plus up to $100,000 of reimbursable expenses.</w:t>
      </w:r>
    </w:p>
    <w:p>
      <w:pPr>
        <w:spacing w:after="0" w:line="37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from related parties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the single largest shareholder, Jack Kaye our CEO, controls 41% of the ordinary shares of Company and is the sole provider of operational funding. At December 31, 2025, and 2024, Mr. Kaye was owed advances of €907,671 and €30,804, respectively, through companies that he controls, including Malbrite Limited, Rallinson Corporation and Davion Healthcare Corporation. The balance owed at December 31, 2024 is classified in Trade and other payables on the consolidated balance sheet. Mr. Kaye has pledged his financial support that is necessary for 12 months from the date of issuance of these consolidated financial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2024, advances to the Company by Jack Kaye amounting to €4.6 million and €1.0 million in fees due David Paul Alexander Over, a director of Davion Healthcare Plc, were converted into 598,246 shares at a conversion rate equivalent to one ordinary share for every $10 (Euro conversion equivalent to) 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DAVION HEALTHCARE PLC AND SUBSIDIARY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of key management personnel</w:t>
      </w:r>
    </w:p>
    <w:p>
      <w:pPr>
        <w:spacing w:after="0" w:line="2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January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2025, the Chief Executive Officer, Jack Kaye and the Chief Commercial Officer, David Paul Alexander (“the Executive Directors), entered into service agreements with the Company in exchange for annual renumeration of €1,800,000 and €1,200,000, respectively including other executive level benefits. In March of 2025, the Executive Directors agreed to freeze their service contracts without any accrual being credited, until such time the Company is listed on a public exchange. In January 2026, these service agreements were cancelled with no fees owing through December 31, 2025. New service agreements will be put in place once the Company is listed on Nasdaq. The parties have agreed that new Service Agreements shall be established immediately prior to, or within fourteen days following, the listing of the Company’s securities on a regulated stock exchange. Such new agreement shall: reflect the current operational and financial position of the Company as a pre-revenue entity; and provide for compensation, benefits, and incentive arrangements commensurate with those typically applicable to executives of comparable small-capitalisation publicly listed companies.</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December 2025 Andreas Ttofi, was appointed as the Company’s Chief Financial Officer and an Executive Director on the Board. Mr. Ttofi’s service agreement provides for a monthly salary of €10,000 plus other benefits, which will begin to accrue upon the Company being listed on Nasdaq.</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2025 the Company added four additional independent directors and in December added one additional independent director to the Board of Directors. The independent directors have agreed to have their compensation frozen without any accrual being credited in 2025 and until such time that the Company is listed on a public exchange, at which time their renumeration will commence.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 incurred €400,000 with regards to director fees by David Paul Alexander Over, a director of Davion Healthcare Plc. and €600,000 with regards to service fees by Jack Kaye, a director of Davion Healthcare Plc.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20-F/A, and that it has duly caused and authorised the undersigned to sign this Annual Report on its behalf.</w:t>
      </w:r>
    </w:p>
    <w:p>
      <w:pPr>
        <w:spacing w:after="0" w:line="37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Davion Healthcare Plc</w:t>
      </w:r>
    </w:p>
    <w:p>
      <w:pPr>
        <w:spacing w:after="0" w:line="200" w:lineRule="exact"/>
        <w:rPr>
          <w:sz w:val="20"/>
          <w:szCs w:val="20"/>
          <w:color w:val="auto"/>
        </w:rPr>
      </w:pPr>
    </w:p>
    <w:p>
      <w:pPr>
        <w:spacing w:after="0" w:line="26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Jack Kaye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Jack Kaye</w:t>
      </w:r>
    </w:p>
    <w:p>
      <w:pPr>
        <w:spacing w:after="0" w:line="2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Andreas Ttofi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Andreas Ttofi</w:t>
      </w:r>
    </w:p>
    <w:p>
      <w:pPr>
        <w:spacing w:after="0" w:line="2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10300" w:type="dxa"/>
            <w:vAlign w:val="bottom"/>
            <w:gridSpan w:val="21"/>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r>
      <w:tr>
        <w:trPr>
          <w:trHeight w:val="432"/>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100" w:type="dxa"/>
            <w:vAlign w:val="bottom"/>
            <w:gridSpan w:val="19"/>
          </w:tcPr>
          <w:p>
            <w:pPr>
              <w:spacing w:after="0" w:line="169"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Memorandum and Articles of Association of the Company</w:t>
              </w:r>
            </w:hyperlink>
            <w:r>
              <w:rPr>
                <w:rFonts w:ascii="Times New Roman" w:cs="Times New Roman" w:eastAsia="Times New Roman" w:hAnsi="Times New Roman"/>
                <w:sz w:val="18"/>
                <w:szCs w:val="18"/>
                <w:color w:val="000000"/>
              </w:rPr>
              <w:t>*</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Transfer Agency Agreement with VStock Transfer, LLC</w:t>
              </w:r>
            </w:hyperlink>
            <w:r>
              <w:rPr>
                <w:rFonts w:ascii="Times New Roman" w:cs="Times New Roman" w:eastAsia="Times New Roman" w:hAnsi="Times New Roman"/>
                <w:sz w:val="18"/>
                <w:szCs w:val="18"/>
                <w:color w:val="000000"/>
              </w:rPr>
              <w:t>*</w:t>
            </w:r>
          </w:p>
        </w:tc>
        <w:tc>
          <w:tcPr>
            <w:tcW w:w="5860" w:type="dxa"/>
            <w:vAlign w:val="bottom"/>
            <w:gridSpan w:val="7"/>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Outline Agreement between the Company and NeuRX Health Inc</w:t>
              </w:r>
            </w:hyperlink>
            <w:r>
              <w:rPr>
                <w:rFonts w:ascii="Times New Roman" w:cs="Times New Roman" w:eastAsia="Times New Roman" w:hAnsi="Times New Roman"/>
                <w:sz w:val="18"/>
                <w:szCs w:val="18"/>
                <w:color w:val="000000"/>
              </w:rPr>
              <w:t>*</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NeuRx Health Inc. Distribution Agreement</w:t>
              </w:r>
            </w:hyperlink>
            <w:r>
              <w:rPr>
                <w:rFonts w:ascii="Times New Roman" w:cs="Times New Roman" w:eastAsia="Times New Roman" w:hAnsi="Times New Roman"/>
                <w:sz w:val="18"/>
                <w:szCs w:val="18"/>
                <w:color w:val="000000"/>
              </w:rPr>
              <w:t>*</w:t>
            </w:r>
          </w:p>
        </w:tc>
        <w:tc>
          <w:tcPr>
            <w:tcW w:w="5360" w:type="dxa"/>
            <w:vAlign w:val="bottom"/>
            <w:gridSpan w:val="3"/>
          </w:tcPr>
          <w:p>
            <w:pPr>
              <w:spacing w:after="0"/>
              <w:rPr>
                <w:sz w:val="17"/>
                <w:szCs w:val="17"/>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Jack Kaye Service Agreement</w:t>
              </w:r>
            </w:hyperlink>
            <w:r>
              <w:rPr>
                <w:rFonts w:ascii="Times New Roman" w:cs="Times New Roman" w:eastAsia="Times New Roman" w:hAnsi="Times New Roman"/>
                <w:sz w:val="18"/>
                <w:szCs w:val="18"/>
                <w:color w:val="000000"/>
              </w:rPr>
              <w:t>*</w:t>
            </w:r>
          </w:p>
        </w:tc>
        <w:tc>
          <w:tcPr>
            <w:tcW w:w="6980" w:type="dxa"/>
            <w:vAlign w:val="bottom"/>
            <w:gridSpan w:val="12"/>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David Over Service Agreement</w:t>
              </w:r>
            </w:hyperlink>
            <w:r>
              <w:rPr>
                <w:rFonts w:ascii="Times New Roman" w:cs="Times New Roman" w:eastAsia="Times New Roman" w:hAnsi="Times New Roman"/>
                <w:sz w:val="18"/>
                <w:szCs w:val="18"/>
                <w:color w:val="000000"/>
              </w:rPr>
              <w:t>*</w:t>
            </w: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Davion Healthcare Purchase and Sale Agreement dated 2/6/23</w:t>
              </w:r>
            </w:hyperlink>
            <w:r>
              <w:rPr>
                <w:rFonts w:ascii="Times New Roman" w:cs="Times New Roman" w:eastAsia="Times New Roman" w:hAnsi="Times New Roman"/>
                <w:sz w:val="18"/>
                <w:szCs w:val="18"/>
                <w:color w:val="000000"/>
              </w:rPr>
              <w:t>*</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Davion NeuRX Exhibit Addendum</w:t>
              </w:r>
            </w:hyperlink>
            <w:r>
              <w:rPr>
                <w:rFonts w:ascii="Times New Roman" w:cs="Times New Roman" w:eastAsia="Times New Roman" w:hAnsi="Times New Roman"/>
                <w:sz w:val="18"/>
                <w:szCs w:val="18"/>
                <w:color w:val="000000"/>
              </w:rPr>
              <w:t>*</w:t>
            </w:r>
          </w:p>
        </w:tc>
        <w:tc>
          <w:tcPr>
            <w:tcW w:w="5600" w:type="dxa"/>
            <w:vAlign w:val="bottom"/>
            <w:gridSpan w:val="5"/>
          </w:tcPr>
          <w:p>
            <w:pPr>
              <w:spacing w:after="0"/>
              <w:rPr>
                <w:sz w:val="17"/>
                <w:szCs w:val="17"/>
                <w:color w:val="auto"/>
              </w:rPr>
            </w:pPr>
          </w:p>
        </w:tc>
      </w:tr>
      <w:tr>
        <w:trPr>
          <w:trHeight w:val="2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Not used</w:t>
            </w:r>
          </w:p>
        </w:tc>
        <w:tc>
          <w:tcPr>
            <w:tcW w:w="7560" w:type="dxa"/>
            <w:vAlign w:val="bottom"/>
            <w:gridSpan w:val="13"/>
          </w:tcPr>
          <w:p>
            <w:pPr>
              <w:spacing w:after="0"/>
              <w:rPr>
                <w:sz w:val="18"/>
                <w:szCs w:val="18"/>
                <w:color w:val="auto"/>
              </w:rPr>
            </w:pPr>
          </w:p>
        </w:tc>
      </w:tr>
      <w:tr>
        <w:trPr>
          <w:trHeight w:val="194"/>
        </w:trPr>
        <w:tc>
          <w:tcPr>
            <w:tcW w:w="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00" w:type="dxa"/>
            <w:vAlign w:val="bottom"/>
            <w:gridSpan w:val="19"/>
          </w:tcPr>
          <w:p>
            <w:pPr>
              <w:spacing w:after="0" w:line="194"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Andreas Ttofi Service Agreement</w:t>
              </w:r>
            </w:hyperlink>
            <w:r>
              <w:rPr>
                <w:rFonts w:ascii="Times New Roman" w:cs="Times New Roman" w:eastAsia="Times New Roman" w:hAnsi="Times New Roman"/>
                <w:sz w:val="18"/>
                <w:szCs w:val="18"/>
                <w:color w:val="000000"/>
              </w:rPr>
              <w:t>*</w:t>
            </w: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Maxim Group LLC Financial Advisory Agreement dated February 3, 2026 </w:t>
            </w:r>
            <w:r>
              <w:rPr>
                <w:rFonts w:ascii="Times New Roman" w:cs="Times New Roman" w:eastAsia="Times New Roman" w:hAnsi="Times New Roman"/>
                <w:sz w:val="18"/>
                <w:szCs w:val="18"/>
                <w:color w:val="000000"/>
              </w:rPr>
              <w:t>**</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Streeterville Capital LLC Loan Note dated March 10, 2026 </w:t>
            </w:r>
            <w:r>
              <w:rPr>
                <w:rFonts w:ascii="Times New Roman" w:cs="Times New Roman" w:eastAsia="Times New Roman" w:hAnsi="Times New Roman"/>
                <w:sz w:val="18"/>
                <w:szCs w:val="18"/>
                <w:color w:val="000000"/>
              </w:rPr>
              <w:t>**</w:t>
            </w:r>
          </w:p>
        </w:tc>
        <w:tc>
          <w:tcPr>
            <w:tcW w:w="4700" w:type="dxa"/>
            <w:vAlign w:val="bottom"/>
            <w:gridSpan w:val="2"/>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Vienna Capital Partners LLC Term Loan dated March 24, 2026 </w:t>
            </w:r>
            <w:r>
              <w:rPr>
                <w:rFonts w:ascii="Times New Roman" w:cs="Times New Roman" w:eastAsia="Times New Roman" w:hAnsi="Times New Roman"/>
                <w:sz w:val="18"/>
                <w:szCs w:val="18"/>
                <w:color w:val="000000"/>
              </w:rPr>
              <w:t>**</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Revere Securities LLC Advisory Agreement </w:t>
            </w:r>
            <w:r>
              <w:rPr>
                <w:rFonts w:ascii="Times New Roman" w:cs="Times New Roman" w:eastAsia="Times New Roman" w:hAnsi="Times New Roman"/>
                <w:sz w:val="18"/>
                <w:szCs w:val="18"/>
                <w:color w:val="000000"/>
              </w:rPr>
              <w:t>**</w:t>
            </w:r>
          </w:p>
        </w:tc>
        <w:tc>
          <w:tcPr>
            <w:tcW w:w="5540" w:type="dxa"/>
            <w:vAlign w:val="bottom"/>
            <w:gridSpan w:val="4"/>
          </w:tcPr>
          <w:p>
            <w:pPr>
              <w:spacing w:after="0"/>
              <w:rPr>
                <w:sz w:val="17"/>
                <w:szCs w:val="17"/>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Auditors</w:t>
            </w:r>
            <w:r>
              <w:rPr>
                <w:rFonts w:ascii="Times New Roman" w:cs="Times New Roman" w:eastAsia="Times New Roman" w:hAnsi="Times New Roman"/>
                <w:sz w:val="18"/>
                <w:szCs w:val="18"/>
                <w:color w:val="000000"/>
              </w:rPr>
              <w:t>**</w:t>
            </w:r>
          </w:p>
        </w:tc>
        <w:tc>
          <w:tcPr>
            <w:tcW w:w="6900" w:type="dxa"/>
            <w:vAlign w:val="bottom"/>
            <w:gridSpan w:val="10"/>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Certification by the Chief Executive Officer pursuant to Section 302 of the Sarbanes-Oxley Act</w:t>
              </w:r>
            </w:hyperlink>
            <w:r>
              <w:rPr>
                <w:rFonts w:ascii="Times New Roman" w:cs="Times New Roman" w:eastAsia="Times New Roman" w:hAnsi="Times New Roman"/>
                <w:sz w:val="18"/>
                <w:szCs w:val="18"/>
                <w:color w:val="000000"/>
              </w:rPr>
              <w:t>**</w:t>
            </w: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40" w:type="dxa"/>
            <w:vAlign w:val="bottom"/>
            <w:tcBorders>
              <w:right w:val="single" w:sz="8" w:color="0000EE"/>
            </w:tcBorders>
            <w:gridSpan w:val="8"/>
            <w:shd w:val="clear" w:color="auto" w:fill="0000EE"/>
          </w:tcPr>
          <w:p>
            <w:pPr>
              <w:spacing w:after="0" w:line="20" w:lineRule="exact"/>
              <w:rPr>
                <w:sz w:val="1"/>
                <w:szCs w:val="1"/>
                <w:color w:val="auto"/>
              </w:rPr>
            </w:pPr>
          </w:p>
        </w:tc>
        <w:tc>
          <w:tcPr>
            <w:tcW w:w="3260" w:type="dxa"/>
            <w:vAlign w:val="bottom"/>
            <w:tcBorders>
              <w:left w:val="single" w:sz="8" w:color="0000EE"/>
            </w:tcBorders>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Certification by the Chief Financial Officer pursuant to Section 302 of the Sarbanes-Oxley Act</w:t>
              </w:r>
            </w:hyperlink>
            <w:r>
              <w:rPr>
                <w:rFonts w:ascii="Times New Roman" w:cs="Times New Roman" w:eastAsia="Times New Roman" w:hAnsi="Times New Roman"/>
                <w:sz w:val="18"/>
                <w:szCs w:val="18"/>
                <w:color w:val="000000"/>
              </w:rPr>
              <w:t>**</w:t>
            </w: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40" w:type="dxa"/>
            <w:vAlign w:val="bottom"/>
            <w:tcBorders>
              <w:right w:val="single" w:sz="8" w:color="0000EE"/>
            </w:tcBorders>
            <w:gridSpan w:val="8"/>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Certification by the Chief Executive Officer pursuant to Section 906 of the Sarbanes-Oxley Act</w:t>
              </w:r>
            </w:hyperlink>
            <w:r>
              <w:rPr>
                <w:rFonts w:ascii="Times New Roman" w:cs="Times New Roman" w:eastAsia="Times New Roman" w:hAnsi="Times New Roman"/>
                <w:sz w:val="18"/>
                <w:szCs w:val="18"/>
                <w:color w:val="000000"/>
              </w:rPr>
              <w:t>**</w:t>
            </w: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40" w:type="dxa"/>
            <w:vAlign w:val="bottom"/>
            <w:tcBorders>
              <w:right w:val="single" w:sz="8" w:color="0000EE"/>
            </w:tcBorders>
            <w:gridSpan w:val="8"/>
            <w:shd w:val="clear" w:color="auto" w:fill="0000EE"/>
          </w:tcPr>
          <w:p>
            <w:pPr>
              <w:spacing w:after="0" w:line="20" w:lineRule="exact"/>
              <w:rPr>
                <w:sz w:val="1"/>
                <w:szCs w:val="1"/>
                <w:color w:val="auto"/>
              </w:rPr>
            </w:pPr>
          </w:p>
        </w:tc>
        <w:tc>
          <w:tcPr>
            <w:tcW w:w="3260" w:type="dxa"/>
            <w:vAlign w:val="bottom"/>
            <w:tcBorders>
              <w:left w:val="single" w:sz="8" w:color="0000EE"/>
            </w:tcBorders>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the Chief Financial Officer pursuant to Section 906 of the Sarbanes-Oxley Act</w:t>
            </w:r>
            <w:r>
              <w:rPr>
                <w:rFonts w:ascii="Times New Roman" w:cs="Times New Roman" w:eastAsia="Times New Roman" w:hAnsi="Times New Roman"/>
                <w:sz w:val="18"/>
                <w:szCs w:val="18"/>
                <w:color w:val="000000"/>
              </w:rPr>
              <w:t>**</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Clawback Policy</w:t>
            </w:r>
            <w:r>
              <w:rPr>
                <w:rFonts w:ascii="Times New Roman" w:cs="Times New Roman" w:eastAsia="Times New Roman" w:hAnsi="Times New Roman"/>
                <w:sz w:val="18"/>
                <w:szCs w:val="18"/>
                <w:color w:val="000000"/>
              </w:rPr>
              <w:t>**</w:t>
            </w:r>
          </w:p>
        </w:tc>
        <w:tc>
          <w:tcPr>
            <w:tcW w:w="326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300" w:type="dxa"/>
            <w:vAlign w:val="bottom"/>
            <w:gridSpan w:val="9"/>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BreastCheck EU Declaration of Conformity</w:t>
              </w:r>
            </w:hyperlink>
            <w:r>
              <w:rPr>
                <w:rFonts w:ascii="Times New Roman" w:cs="Times New Roman" w:eastAsia="Times New Roman" w:hAnsi="Times New Roman"/>
                <w:sz w:val="18"/>
                <w:szCs w:val="18"/>
                <w:color w:val="000000"/>
              </w:rPr>
              <w:t>*</w:t>
            </w: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5"/>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300" w:type="dxa"/>
            <w:vAlign w:val="bottom"/>
            <w:gridSpan w:val="9"/>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Executive Waiver of Salary Under Service Contracts</w:t>
              </w:r>
            </w:hyperlink>
            <w:r>
              <w:rPr>
                <w:rFonts w:ascii="Times New Roman" w:cs="Times New Roman" w:eastAsia="Times New Roman" w:hAnsi="Times New Roman"/>
                <w:sz w:val="18"/>
                <w:szCs w:val="18"/>
                <w:color w:val="000000"/>
              </w:rPr>
              <w:t>*</w:t>
            </w: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Directors Lockup Agreement</w:t>
              </w:r>
            </w:hyperlink>
            <w:r>
              <w:rPr>
                <w:rFonts w:ascii="Times New Roman" w:cs="Times New Roman" w:eastAsia="Times New Roman" w:hAnsi="Times New Roman"/>
                <w:sz w:val="18"/>
                <w:szCs w:val="18"/>
                <w:color w:val="000000"/>
              </w:rPr>
              <w:t>*</w:t>
            </w:r>
          </w:p>
        </w:tc>
        <w:tc>
          <w:tcPr>
            <w:tcW w:w="6300" w:type="dxa"/>
            <w:vAlign w:val="bottom"/>
            <w:gridSpan w:val="9"/>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980" w:type="dxa"/>
            <w:vAlign w:val="bottom"/>
            <w:gridSpan w:val="16"/>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Letter of Support from CEO</w:t>
            </w:r>
            <w:r>
              <w:rPr>
                <w:rFonts w:ascii="Times New Roman" w:cs="Times New Roman" w:eastAsia="Times New Roman" w:hAnsi="Times New Roman"/>
                <w:sz w:val="18"/>
                <w:szCs w:val="18"/>
                <w:color w:val="000000"/>
              </w:rPr>
              <w:t>**</w:t>
            </w: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9" w:lineRule="exact"/>
        <w:rPr>
          <w:sz w:val="20"/>
          <w:szCs w:val="20"/>
          <w:color w:val="auto"/>
        </w:rPr>
      </w:pPr>
    </w:p>
    <w:p>
      <w:pPr>
        <w:ind w:left="1140" w:hanging="1132"/>
        <w:spacing w:after="0"/>
        <w:tabs>
          <w:tab w:leader="none" w:pos="1140" w:val="left"/>
        </w:tabs>
        <w:numPr>
          <w:ilvl w:val="0"/>
          <w:numId w:val="57"/>
        </w:numPr>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u w:val="single" w:color="auto"/>
            <w:color w:val="0000EE"/>
          </w:rPr>
          <w:t>Filing Fee Table</w:t>
        </w:r>
      </w:hyperlink>
      <w:r>
        <w:rPr>
          <w:rFonts w:ascii="Times New Roman" w:cs="Times New Roman" w:eastAsia="Times New Roman" w:hAnsi="Times New Roman"/>
          <w:sz w:val="18"/>
          <w:szCs w:val="18"/>
          <w:color w:val="000000"/>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16"/>
        </w:trPr>
        <w:tc>
          <w:tcPr>
            <w:tcW w:w="920" w:type="dxa"/>
            <w:vAlign w:val="bottom"/>
          </w:tcPr>
          <w:p>
            <w:pPr>
              <w:spacing w:after="0"/>
              <w:rPr>
                <w:sz w:val="18"/>
                <w:szCs w:val="18"/>
                <w:color w:val="auto"/>
              </w:rPr>
            </w:pP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jc w:val="both"/>
        <w:ind w:right="9920" w:firstLine="8"/>
        <w:spacing w:after="0" w:line="312" w:lineRule="auto"/>
        <w:tabs>
          <w:tab w:leader="none" w:pos="13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 ** Filed herewith</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168275</wp:posOffset>
            </wp:positionV>
            <wp:extent cx="1019810" cy="643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101981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FF0000"/>
        </w:rPr>
        <w:t>SUBJECT TO MAXIM LEGAL REVIEW</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Kaye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Davion Healthcare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Cube Building, Monahan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Cork, T12 H1XY, Ireland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Kaye:</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are pleased that Davion Healthcare PLC, an Irish corporation (collectively with its owned or controlled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decided to retain Maxim Group LLC (“</w:t>
      </w:r>
      <w:r>
        <w:rPr>
          <w:rFonts w:ascii="Times New Roman" w:cs="Times New Roman" w:eastAsia="Times New Roman" w:hAnsi="Times New Roman"/>
          <w:sz w:val="18"/>
          <w:szCs w:val="18"/>
          <w:b w:val="1"/>
          <w:bCs w:val="1"/>
          <w:color w:val="auto"/>
        </w:rPr>
        <w:t>Maxim</w:t>
      </w:r>
      <w:r>
        <w:rPr>
          <w:rFonts w:ascii="Times New Roman" w:cs="Times New Roman" w:eastAsia="Times New Roman" w:hAnsi="Times New Roman"/>
          <w:sz w:val="18"/>
          <w:szCs w:val="18"/>
          <w:color w:val="auto"/>
        </w:rPr>
        <w:t>”) to provide non--exclusive general financial advisory and investment banking services to the Company as set forth herein. This letter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will confirm Maxim’s acceptance of such retention and set forth the terms of our engagement.</w:t>
      </w:r>
    </w:p>
    <w:p>
      <w:pPr>
        <w:spacing w:after="0" w:line="175" w:lineRule="exact"/>
        <w:rPr>
          <w:sz w:val="20"/>
          <w:szCs w:val="20"/>
          <w:color w:val="auto"/>
        </w:rPr>
      </w:pPr>
    </w:p>
    <w:p>
      <w:pPr>
        <w:jc w:val="both"/>
        <w:ind w:firstLine="8"/>
        <w:spacing w:after="0" w:line="266" w:lineRule="auto"/>
        <w:tabs>
          <w:tab w:leader="none" w:pos="6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Retention</w:t>
      </w:r>
      <w:r>
        <w:rPr>
          <w:rFonts w:ascii="Times New Roman" w:cs="Times New Roman" w:eastAsia="Times New Roman" w:hAnsi="Times New Roman"/>
          <w:sz w:val="18"/>
          <w:szCs w:val="18"/>
          <w:color w:val="auto"/>
        </w:rPr>
        <w:t>. The Company hereby retains Maxim as its non-exclusive financial advisor and investment banker to provide general financial advisory and investment banking services, and Maxim accepts such retention on the terms and conditions set forth in this Agreement. In connection with this Agreement, Maxim may provide certain or all of the following services (collectively referred to as the “</w:t>
      </w:r>
      <w:r>
        <w:rPr>
          <w:rFonts w:ascii="Times New Roman" w:cs="Times New Roman" w:eastAsia="Times New Roman" w:hAnsi="Times New Roman"/>
          <w:sz w:val="18"/>
          <w:szCs w:val="18"/>
          <w:b w:val="1"/>
          <w:bCs w:val="1"/>
          <w:color w:val="auto"/>
        </w:rPr>
        <w:t>Advisory Services</w:t>
      </w:r>
      <w:r>
        <w:rPr>
          <w:rFonts w:ascii="Times New Roman" w:cs="Times New Roman" w:eastAsia="Times New Roman" w:hAnsi="Times New Roman"/>
          <w:sz w:val="18"/>
          <w:szCs w:val="18"/>
          <w:color w:val="auto"/>
        </w:rPr>
        <w:t>”):</w:t>
      </w:r>
    </w:p>
    <w:p>
      <w:pPr>
        <w:spacing w:after="0" w:line="391" w:lineRule="exact"/>
        <w:rPr>
          <w:rFonts w:ascii="Times New Roman" w:cs="Times New Roman" w:eastAsia="Times New Roman" w:hAnsi="Times New Roman"/>
          <w:sz w:val="18"/>
          <w:szCs w:val="18"/>
          <w:color w:val="auto"/>
        </w:rPr>
      </w:pPr>
    </w:p>
    <w:p>
      <w:pPr>
        <w:ind w:left="660" w:hanging="4"/>
        <w:spacing w:after="0" w:line="282" w:lineRule="auto"/>
        <w:tabs>
          <w:tab w:leader="none" w:pos="130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management of the Company and advise the Company with respect to its strategic planning process and business plans including an analysis of markets, positioning, financial models, organizational structure, potential strategic alliances and capital requirements;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Company on matters relating to its capitalization;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Company on matters relating to its listing on a major U.S. exchange;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management of the Company with the preparation of the Company’s marketing materials and investor presentations;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130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closely with the Company’s management team to develop a set of long and short-term goals with special focus on enhancing corporate and shareholder value. This will include assisting the Company in determining key business actions, including assistance with strategic partnership discussions and review of financing requirements, intended to help enhance shareholder value and exposure to the investment community;</w:t>
      </w:r>
    </w:p>
    <w:p>
      <w:pPr>
        <w:spacing w:after="0" w:line="179" w:lineRule="exact"/>
        <w:rPr>
          <w:rFonts w:ascii="Times New Roman" w:cs="Times New Roman" w:eastAsia="Times New Roman" w:hAnsi="Times New Roman"/>
          <w:sz w:val="18"/>
          <w:szCs w:val="18"/>
          <w:color w:val="auto"/>
        </w:rPr>
      </w:pPr>
    </w:p>
    <w:p>
      <w:pPr>
        <w:ind w:left="660" w:right="20" w:hanging="4"/>
        <w:spacing w:after="0" w:line="282" w:lineRule="auto"/>
        <w:tabs>
          <w:tab w:leader="none" w:pos="130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Company on potential financing alternatives, including facilitation and negotiation of any financial or structural aspects of such alternatives;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other financial advisory and investment banking services upon which the parties may mutually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000080"/>
        </w:rPr>
        <w:t>Members FINRA &amp; SIPC</w:t>
      </w:r>
    </w:p>
    <w:p>
      <w:pPr>
        <w:jc w:val="center"/>
        <w:spacing w:after="0"/>
        <w:rPr>
          <w:sz w:val="20"/>
          <w:szCs w:val="20"/>
          <w:color w:val="auto"/>
        </w:rPr>
      </w:pPr>
      <w:r>
        <w:rPr>
          <w:rFonts w:ascii="Times New Roman" w:cs="Times New Roman" w:eastAsia="Times New Roman" w:hAnsi="Times New Roman"/>
          <w:sz w:val="13"/>
          <w:szCs w:val="13"/>
          <w:color w:val="000080"/>
        </w:rPr>
        <w:t>300 Park Ave. * New York, NY 10022 * tel (212) 895-3500 * (800) 724-0761 * fax (212) 895-3783 * www.maximgrp.com</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color w:val="auto"/>
        </w:rPr>
        <w:t>February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Davion Healthcare PLC</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expressly understood and agreed that Maxim shall be required to perform only such tasks as may be necessary or desirable in connection with the rendering of its services hereunder and therefore may not perform all of the tasks enumerated above during the term of this Agreement. Moreover, it is further understood that Maxim need not perform each of the above-referenced tasks in order to receive the fees described in Section 3. It is further understood that Maxim’s tasks may not be limited to those enumerated in this paragraph. Maxim agrees to perform its services in a commercially reasonable manner consistent with customary standards of care for registered broker-dealers and financial advisors in similar engagements.</w:t>
      </w:r>
    </w:p>
    <w:p>
      <w:pPr>
        <w:spacing w:after="0" w:line="183" w:lineRule="exact"/>
        <w:rPr>
          <w:sz w:val="20"/>
          <w:szCs w:val="20"/>
          <w:color w:val="auto"/>
        </w:rPr>
      </w:pPr>
    </w:p>
    <w:p>
      <w:pPr>
        <w:jc w:val="both"/>
        <w:ind w:firstLine="8"/>
        <w:spacing w:after="0" w:line="252" w:lineRule="auto"/>
        <w:tabs>
          <w:tab w:leader="none" w:pos="6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In connection with Maxim’s activities hereunder, the Company will cooperate with Maxim and furnish Maxim upon request with all information regarding the business, operations, properties, financial condition, management and prospects of the Company (all such information so furnished being the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which Maxim deems appropriate and will provide Maxim with access to the Company’s officers, directors, employees, independent accountants and legal counsel. The Company represents and warrants to Maxim that all Information made available to Maxim hereunder will be complete and correct in all material respects and will not contain any untrue statement of a material fact or omit to state a material fact necessary in order to make the statements therein not misleading in light of the circumstances under which such statements are or will be made. The Company further represents and warrants that any projections and other forward-looking information provided by it to Maxim will have been prepared in good faith and will be based upon assumptions which, in light of the circumstances under which they are made, are reasonable. The Company recognizes and confirms that Maxim: (i) will use and rely primarily on the Information and on information available from generally recognized public sources in performing the services contemplated by this Agreement without having independently verified the same; (ii) does not assume responsibility for the accuracy or completeness of the Information and such other information; and (iii) will not make an appraisal of any assets of the Company. Any advice rendered by Maxim pursuant to this Agreement may not be disclosed publicly without Maxim’s prior written consent. Maxim hereby acknowledges that certain of the Information received by Maxim may be confidential and/or proprietary, including Information with respect to the Company’s technologies, products, business plans, marketing, and other Information which must be maintained by Maxim as confidential. Maxim agrees that it will not disclose such confidential and/or proprietary Information to any other companies in the industry in which the Company is involved.</w:t>
      </w:r>
    </w:p>
    <w:p>
      <w:pPr>
        <w:spacing w:after="0" w:line="195" w:lineRule="exact"/>
        <w:rPr>
          <w:rFonts w:ascii="Times New Roman" w:cs="Times New Roman" w:eastAsia="Times New Roman" w:hAnsi="Times New Roman"/>
          <w:sz w:val="18"/>
          <w:szCs w:val="18"/>
          <w:color w:val="auto"/>
        </w:rPr>
      </w:pPr>
    </w:p>
    <w:p>
      <w:pPr>
        <w:ind w:firstLine="8"/>
        <w:spacing w:after="0" w:line="282" w:lineRule="auto"/>
        <w:tabs>
          <w:tab w:leader="none" w:pos="6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As consideration for Maxim’s services pursuant to this Agreement, Maxim shall be entitled to receive, and the Company agrees to pay Maxim, the following compensation:</w:t>
      </w:r>
    </w:p>
    <w:p>
      <w:pPr>
        <w:spacing w:after="0" w:line="157" w:lineRule="exact"/>
        <w:rPr>
          <w:rFonts w:ascii="Times New Roman" w:cs="Times New Roman" w:eastAsia="Times New Roman" w:hAnsi="Times New Roman"/>
          <w:sz w:val="18"/>
          <w:szCs w:val="18"/>
          <w:color w:val="auto"/>
        </w:rPr>
      </w:pPr>
    </w:p>
    <w:p>
      <w:pPr>
        <w:jc w:val="both"/>
        <w:ind w:left="1300" w:right="320" w:hanging="644"/>
        <w:spacing w:after="0" w:line="268"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fees appearing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Fee Schedule</w:t>
      </w:r>
      <w:r>
        <w:rPr>
          <w:rFonts w:ascii="Times New Roman" w:cs="Times New Roman" w:eastAsia="Times New Roman" w:hAnsi="Times New Roman"/>
          <w:sz w:val="18"/>
          <w:szCs w:val="18"/>
          <w:color w:val="auto"/>
        </w:rPr>
        <w:t>”) shall be earned by and paid to Maxim by the Company in connection with any Financings or Transactions (as such terms are defined hereafter) undertaken by the Company, the further terms of which may be mutually agreed upon under separate advisory, placement agency and/or underwriting agreements.</w:t>
      </w:r>
    </w:p>
    <w:p>
      <w:pPr>
        <w:spacing w:after="0" w:line="170" w:lineRule="exact"/>
        <w:rPr>
          <w:rFonts w:ascii="Times New Roman" w:cs="Times New Roman" w:eastAsia="Times New Roman" w:hAnsi="Times New Roman"/>
          <w:sz w:val="18"/>
          <w:szCs w:val="18"/>
          <w:color w:val="auto"/>
        </w:rPr>
      </w:pPr>
    </w:p>
    <w:p>
      <w:pPr>
        <w:jc w:val="both"/>
        <w:ind w:left="1300" w:right="320" w:hanging="644"/>
        <w:spacing w:after="0" w:line="257"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issue to Maxim or its designees 100,000 shares of the Company’s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upon the Company’s listing to a major U.S. exchange (Nasdaq, NYSE, NYSEAM). The stock may not be sold are transferred by Maxim for a period of six (6) months following the Company’s listing. Prior to the time at which Maxim may sell such shares under Rule 144 of the Securities and Exchange Commission promulgated under the Securities Act of 1933, as amended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the shares of Common Stock will have unlimited piggyback registration rights and the same rights afforded other holders of the Company’s Common Stock.</w:t>
      </w:r>
    </w:p>
    <w:p>
      <w:pPr>
        <w:spacing w:after="0" w:line="186" w:lineRule="exact"/>
        <w:rPr>
          <w:rFonts w:ascii="Times New Roman" w:cs="Times New Roman" w:eastAsia="Times New Roman" w:hAnsi="Times New Roman"/>
          <w:sz w:val="18"/>
          <w:szCs w:val="18"/>
          <w:color w:val="auto"/>
        </w:rPr>
      </w:pPr>
    </w:p>
    <w:p>
      <w:pPr>
        <w:jc w:val="both"/>
        <w:ind w:left="1300" w:right="3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Maxim’s request, the Company will use its best efforts to promptly deliver an opinion of its counsel to the Company’s transfer agent to remove any restrictive legend from the Common Stock pursuant to Rule 144; however, this requirement does not apply if the Company reasonably believes in good faith that the conditions for removal of the restrictive legend under Rule 144 have not been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color w:val="auto"/>
        </w:rPr>
        <w:t>February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Davion Healthcare PLC</w:t>
      </w:r>
    </w:p>
    <w:p>
      <w:pPr>
        <w:spacing w:after="0" w:line="207" w:lineRule="exact"/>
        <w:rPr>
          <w:sz w:val="20"/>
          <w:szCs w:val="20"/>
          <w:color w:val="auto"/>
        </w:rPr>
      </w:pPr>
    </w:p>
    <w:p>
      <w:pPr>
        <w:jc w:val="both"/>
        <w:ind w:left="1300" w:right="320" w:hanging="644"/>
        <w:spacing w:after="0" w:line="253"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Maxim acknowledge and agree that, in the course of performing services hereunder, Maxim may communicate with (as the Company’s advisor) or introduce the Company to third parties who may be interested in providing equity, equity-linked or debt financing, or participating in any other capital raising activity of the Company (any such financing, a “</w:t>
      </w: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 or in entering into a transaction with the Company, including, without limitation, a merger, acquisition or sale of stock or assets (in which the Company may be the acquiring or the acquired entity), joint venture, strategic alliance or other similar transaction (any such transaction, a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The Company agrees that if during the term of this Agreement or within twelve (12) months from the Termination Date (defined hereinafter), either the Company or any party to whom the Company was introduced, directly or indirectly, by Maxim, or who was contacted by Maxim on behalf of the Company in connection with its services for the Company, proposes a Financing or any Transaction involving the Company, then, if any such Financing or Transaction is consummated, the Company shall pay to Maxim fees in accordance with the Fee Schedule. Such fees shall be payable to Maxim in cash at the closing or closings of the Financing or Transaction to which it relates. Following the Termination Date, upon written request of the Company, Maxim shall provide to the Company a list of parties subject to the tail provisions of this Section 3(c).</w:t>
      </w:r>
    </w:p>
    <w:p>
      <w:pPr>
        <w:spacing w:after="0" w:line="189" w:lineRule="exact"/>
        <w:rPr>
          <w:rFonts w:ascii="Times New Roman" w:cs="Times New Roman" w:eastAsia="Times New Roman" w:hAnsi="Times New Roman"/>
          <w:sz w:val="18"/>
          <w:szCs w:val="18"/>
          <w:color w:val="auto"/>
        </w:rPr>
      </w:pPr>
    </w:p>
    <w:p>
      <w:pPr>
        <w:jc w:val="both"/>
        <w:ind w:firstLine="8"/>
        <w:spacing w:after="0" w:line="258" w:lineRule="auto"/>
        <w:tabs>
          <w:tab w:leader="none" w:pos="6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In addition to payment to Maxim of the compensation set forth in Section 3 hereof, the Company shall promptly upon request from time to time reimburse Maxim for all reasonable expenses (including, without limitation, fees and disbursements of counsel and all travel and other out-of-pocket expenses) incurred by Maxim in connection with its engagement hereunder. Maxim will provide the Company an invoice and copies of receipts pursuant to its expenses and such expenses shall not exceed $10,000 without prior authorization of the Company; provided that the foregoing limitation and consent shall not apply to legal fees.</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The Company agrees to indemnify Maxim in accordance with the indemnification and other provisions attached to this Agreement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Indemnification Provisions</w:t>
      </w:r>
      <w:r>
        <w:rPr>
          <w:rFonts w:ascii="Times New Roman" w:cs="Times New Roman" w:eastAsia="Times New Roman" w:hAnsi="Times New Roman"/>
          <w:sz w:val="18"/>
          <w:szCs w:val="18"/>
          <w:color w:val="auto"/>
        </w:rPr>
        <w:t>”), which provisions are incorporated herein by reference and shall survive the termination or expiration of this Agreement.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8"/>
        <w:spacing w:after="0" w:line="254" w:lineRule="auto"/>
        <w:tabs>
          <w:tab w:leader="none" w:pos="6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Activities</w:t>
      </w:r>
      <w:r>
        <w:rPr>
          <w:rFonts w:ascii="Times New Roman" w:cs="Times New Roman" w:eastAsia="Times New Roman" w:hAnsi="Times New Roman"/>
          <w:sz w:val="18"/>
          <w:szCs w:val="18"/>
          <w:color w:val="auto"/>
        </w:rPr>
        <w:t>. The Company acknowledges that Maxim has been, and may in the future be, engaged to provide services as an underwriter, placement agent, finder, advisor and investment banker to other companies in the industry in which the Company is involved. Subject to the confidentiality provisions of Maxim contained in Section 2 hereof, the Company acknowledges and agrees that nothing contained in this Agreement shall limit or restrict the right of Maxim or of any member, manager, officer, employee, agent or representative of Maxim, to be a member, manager, partner, officer, director, employee, agent or representative of, investor in, or to engage in, any other business, whether or not of a similar nature to the Company’s business, nor to limit or restrict the right of Maxim to render services of any kind to any other corporation, firm, individual or association. Maxim may, but shall not be required to, present opportunities to the Company. If Maxim becomes aware of potential or actual material conflicts between Maxim and the Company, Maxim shall disclose such conflict to the Company in good faith.</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color w:val="auto"/>
        </w:rPr>
        <w:t>February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Davion Healthcare PLC</w:t>
      </w:r>
    </w:p>
    <w:p>
      <w:pPr>
        <w:spacing w:after="0" w:line="207" w:lineRule="exact"/>
        <w:rPr>
          <w:sz w:val="20"/>
          <w:szCs w:val="20"/>
          <w:color w:val="auto"/>
        </w:rPr>
      </w:pPr>
    </w:p>
    <w:p>
      <w:pPr>
        <w:jc w:val="both"/>
        <w:ind w:firstLine="8"/>
        <w:spacing w:after="0" w:line="252" w:lineRule="auto"/>
        <w:tabs>
          <w:tab w:leader="none" w:pos="64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Termination; Survival of Provisions</w:t>
      </w:r>
      <w:r>
        <w:rPr>
          <w:rFonts w:ascii="Times New Roman" w:cs="Times New Roman" w:eastAsia="Times New Roman" w:hAnsi="Times New Roman"/>
          <w:sz w:val="18"/>
          <w:szCs w:val="18"/>
          <w:color w:val="auto"/>
        </w:rPr>
        <w:t>. Either Maxim or the Company may terminate this Agreement at any time with thirty (30) days’ prior written notice to the other party after the ninety (90) day anniversary of this Agreement (the effective date of such termination, the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Agreement may be earlier terminated by the Company only for Cause (defined hereinafter). In the event of such termination,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pay and deliver to Maxim: (i) all compensation earned through the Termination Date pursuant to any provision of Section 3 hereof, (ii) all compensation which may be earned by Maxim after the Termination Date pursuant to Section 3 hereof, and (iii) shall reimburse Maxim for all expenses incurred by Maxim in connection with its services hereunder pursuant to Section 4 hereof. All such fees and reimbursements due to Maxim pursuant to the immediately preceding sentence shall be paid to Maxim on or before the Termination Date (in the event such fees and reimbursements are earned or owed as of the Termination Date) or upon the closing of a Financing or Transaction or any applicable portion thereof (in the event such fees are due pursuant to the terms of Section 3 hereof). In the event, however in the course of due diligence performed by Maxim, Maxim deems it necessary to terminate the engagement, Maxim may do so at any time upon immediate written notice. If the Company terminates the Agreement for Cause (as hereinafter defined), upon thirty (30) days’ notice and effective within five months of the execution of this Agreement, Maxim shall return the pro rata amount of the Common Stock described in Section 3(b) above based on the amount of time remaining in such five month period. Pursuant to this Agreement,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shall mean gross negligence, willful misconduct or an uncured material breach of this Agreement by Maxim of which the Company has provided Maxim with at least twenty (20) days’ written notice and opportunity to cure. Notwithstanding anything expressed or implied herein to the contrary: (i) any other agreement entered into between Maxim and the Company may only be terminated in accordance with the terms thereof, notwithstanding an actual or purported termination of this Agreement, and (ii) the terms and provisions of Sections 3, 4, 5 (including, but not limited to, the Indemnification Provisions attached to this Agreement and incorporated herein by reference), 6, 8, 9, 10, 11, 13, 15 and 17 shall survive the termination of this Agreement.</w:t>
      </w:r>
    </w:p>
    <w:p>
      <w:pPr>
        <w:spacing w:after="0" w:line="193" w:lineRule="exact"/>
        <w:rPr>
          <w:rFonts w:ascii="Times New Roman" w:cs="Times New Roman" w:eastAsia="Times New Roman" w:hAnsi="Times New Roman"/>
          <w:sz w:val="18"/>
          <w:szCs w:val="18"/>
          <w:color w:val="auto"/>
        </w:rPr>
      </w:pPr>
    </w:p>
    <w:p>
      <w:pPr>
        <w:ind w:right="20" w:firstLine="8"/>
        <w:spacing w:after="0" w:line="282" w:lineRule="auto"/>
        <w:tabs>
          <w:tab w:leader="none" w:pos="64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will be in writing and will be effective when delivered in person or sent via U.S. Mail or private carrier or via facsimile and confirmed by letter, to the party to whom it is addressed at the following addresses or such other address as such party may advise the other in writing:</w:t>
      </w:r>
    </w:p>
    <w:p>
      <w:pPr>
        <w:sectPr>
          <w:pgSz w:w="11900" w:h="16838" w:orient="portrait"/>
          <w:cols w:equalWidth="0" w:num="1">
            <w:col w:w="11240"/>
          </w:cols>
          <w:pgMar w:left="320" w:top="796"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Company: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Davion Healthcare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Cube Building, Monahan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Cork, T12 H1XY, 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Jack Kaye</w:t>
      </w:r>
    </w:p>
    <w:p>
      <w:pPr>
        <w:spacing w:after="0" w:line="200" w:lineRule="exact"/>
        <w:rPr>
          <w:sz w:val="20"/>
          <w:szCs w:val="20"/>
          <w:color w:val="auto"/>
        </w:rPr>
      </w:pPr>
    </w:p>
    <w:p>
      <w:pPr>
        <w:sectPr>
          <w:pgSz w:w="11900" w:h="16838" w:orient="portrait"/>
          <w:cols w:equalWidth="0" w:num="2">
            <w:col w:w="4900" w:space="720"/>
            <w:col w:w="5620"/>
          </w:cols>
          <w:pgMar w:left="320" w:top="796"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Maxim: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James Siegel, Esq.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Telephone: (212) 895-3508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895-3888</w:t>
      </w:r>
    </w:p>
    <w:p>
      <w:pPr>
        <w:spacing w:after="0" w:line="200" w:lineRule="exact"/>
        <w:rPr>
          <w:sz w:val="20"/>
          <w:szCs w:val="20"/>
          <w:color w:val="auto"/>
        </w:rPr>
      </w:pPr>
    </w:p>
    <w:p>
      <w:pPr>
        <w:sectPr>
          <w:pgSz w:w="11900" w:h="16838" w:orient="portrait"/>
          <w:cols w:equalWidth="0" w:num="2">
            <w:col w:w="4900" w:space="720"/>
            <w:col w:w="5620"/>
          </w:cols>
          <w:pgMar w:left="320" w:top="796" w:right="339" w:bottom="1440" w:gutter="0" w:footer="0" w:header="0"/>
          <w:type w:val="continuous"/>
        </w:sectPr>
      </w:pP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Mr. Clifford Teller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Maxim Group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300 Park Avenue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New York, NY 10022</w:t>
      </w:r>
    </w:p>
    <w:p>
      <w:pPr>
        <w:sectPr>
          <w:pgSz w:w="11900" w:h="16838" w:orient="portrait"/>
          <w:cols w:equalWidth="0" w:num="1">
            <w:col w:w="11240"/>
          </w:cols>
          <w:pgMar w:left="320" w:top="79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color w:val="auto"/>
        </w:rPr>
        <w:t>February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Davion Healthcare PLC</w:t>
      </w:r>
    </w:p>
    <w:p>
      <w:pPr>
        <w:spacing w:after="0" w:line="207" w:lineRule="exact"/>
        <w:rPr>
          <w:sz w:val="20"/>
          <w:szCs w:val="20"/>
          <w:color w:val="auto"/>
        </w:rPr>
      </w:pPr>
    </w:p>
    <w:p>
      <w:pPr>
        <w:jc w:val="both"/>
        <w:ind w:firstLine="8"/>
        <w:spacing w:after="0" w:line="256" w:lineRule="auto"/>
        <w:tabs>
          <w:tab w:leader="none" w:pos="64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Choice of Law; Seat of Arbitration</w:t>
      </w:r>
      <w:r>
        <w:rPr>
          <w:rFonts w:ascii="Times New Roman" w:cs="Times New Roman" w:eastAsia="Times New Roman" w:hAnsi="Times New Roman"/>
          <w:sz w:val="18"/>
          <w:szCs w:val="18"/>
          <w:color w:val="auto"/>
        </w:rPr>
        <w:t>. This Agreement shall be enforced, governed by and construed in accordance with the laws of the State of New York without regard to principles of conflict of laws. Any controversy or claim arising out of or relating to this Agreement, or the breach thereof, shall be determined by final and binding arbitration administered by the American Arbitration Association under its Commercial Arbitration Rules, and judgment on the award rendered by the arbitrator(s) may be entered in any court having jurisdiction thereof. The decision and award of the arbitrator(s) shall be conclusive and binding on all parties. The parties understand that, by agreeing to arbitration, they are waiving any right they may have to a trial by court or jury in any action or proceeding arising out of or relating to this Agreement. The arbitration shall be conducted in New York, New York.</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not be modified or amended except in a writing duly executed by the parties hereto.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in this Agreement have been inserted as a matter of reference and are not part of this Agreement.</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64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benefits of this Agreement shall inure to the parties hereto, their respective successors and assigns and to the indemnified parties hereunder and their respective successors and assigns, and the obligations and liabilities assumed in this Agreement shall be binding upon the parties hereto and their respective successors and assigns. Notwithstanding anything contained herein to the contrary, neither Maxim nor the Company shall assign any of its obligations hereunder without the prior written consent of the other party.</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64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does not create, and shall not be construed as creating, any rights enforceable by any person or entity not a party hereto, except those entitled to the benefits of the Indemnification Provisions. Without limiting the foregoing, the Company acknowledges and agrees that Maxim is not being engaged as, and shall not be deemed to be, an agent or fiduciary of the Company’s stockholders or creditors or any other person by virtue of this Agreement or the retention of Maxim hereunder.</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64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waiver or any breach of any of the terms or conditions of this Agreement shall not operate as a waiver of any other breach of such terms or conditions or of any other term or condition, nor shall any failure to insist upon strict performance or to enforce any provision hereof on any one occasion operate as a waiver of such provision or of any other provision hereof or a waiver of the right to insist upon strict performance or to enforce such provision or any other provision on any subsequent occasion. Any waiver must be in writing.</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by facsimile transmission, each of which shall be deemed to be an original instrument, but all of which taken together shall constitute one and the same agreement. Facsimile signatures shall be deemed to be original signatures for all purposes.</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64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Disclaimers</w:t>
      </w:r>
      <w:r>
        <w:rPr>
          <w:rFonts w:ascii="Times New Roman" w:cs="Times New Roman" w:eastAsia="Times New Roman" w:hAnsi="Times New Roman"/>
          <w:sz w:val="18"/>
          <w:szCs w:val="18"/>
          <w:color w:val="auto"/>
        </w:rPr>
        <w:t>. The Company agrees that any and all decisions, acts, actions, or omissions with respect to the services contemplated by this Agreement and the other matters contemplated herein shall be the sole responsibility of the Company, and that the performance by Maxim of services hereunder will in no way expose Maxim to any liability for any such decisions, acts, actions or omissions of the Company.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color w:val="auto"/>
        </w:rPr>
        <w:t>February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Davion Healthcare PLC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terms of our engagement as set forth in this letter are satisfactory to you, please confirm by signing and returning one copy of this letter.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MAXIM GROUP LLC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Ritesh M Veera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Ritesh M. Veera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Co-Head of Investment Banking</w:t>
      </w:r>
    </w:p>
    <w:p>
      <w:pPr>
        <w:spacing w:after="0" w:line="20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to and accepted this 3rd day of February,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DAVION HEALTHCARE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Jack Kaye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5715</wp:posOffset>
            </wp:positionV>
            <wp:extent cx="33515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Name: Jack Kaye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color w:val="auto"/>
        </w:rPr>
        <w:t>February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Davion Healthcare PLC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PROVISIONS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in this Exhibit shall have the meanings ascribed to such terms in the Agreement to which this Exhibit is attached.</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agrees to indemnify and hold harmless Maxim and each of the other Indemnified Parties (as hereinafter defined) from and against any and all losses, claims, damages, obligations, penalties, judgments, awards, liabilities, costs, expenses and disbursements, and any and all actions, suits, proceedings and investigations in respect thereof and any and all legal and other costs, expenses and disbursements in giving testimony or furnishing documents in response to a subpoena or otherwise (including, without limitation, the costs, expenses and disbursements, as and when incurred, of investigating, preparing, pursing or defending any such action, suit, proceeding or investigation (whether or not in connection with litigation in which any Indemnified Party is a party))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directly or indirectly, caused by, relating to, based upon, arising out of, or in connection with, Maxim’s acting for the Company, including, without limitation, any act or omission by Maxim in connection with its acceptance of or the performance or non-performance of its obligations under the Agreement between the Company and Maxim to which these indemnification provisions are attached and form a part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any breach by the Company of any representation, warranty, covenant or agreement contained in the Agreement (or in any instrument, document or agreement relating thereto, including any agency agreement), or the enforcement by Maxim of its rights under the Agreement or these indemnification provisions, except to the extent that any such Losses are found in a final judgment by a court of competent jurisdiction (not subject to further appeal) to have resulted primarily and directly from the gross negligence or willful misconduct of the Indemnified Party seeking indemnification hereunder. The Company also agrees that no Indemnified Party shall have any liability (whether direct or indirect, in contract or tort or otherwise) to the Company for or in connection with the engagement of Maxim by the Company or for any other reason, except to the extent that any such liability is found in a final judgment by a court of competent jurisdiction (not subject to further appeal) to have resulted primarily and directly from such Indemnified Party’s gross negligence or willful misconduct.</w:t>
      </w:r>
    </w:p>
    <w:p>
      <w:pPr>
        <w:spacing w:after="0" w:line="19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These Indemnification Provisions shall extend to the following persons (collectively, the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Maxim, its present and former affiliated entities, managers, members, officers, employees, legal counsel, agents and controlling persons (within the meaning of the federal securities laws), and the officers, directors, partners, stockholders, members, managers, employees, legal counsel, agents and controlling persons of any of them. These indemnification provisions shall be in addition to any liability which the Company may otherwise have to any Indemnified Party.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any action, suit, proceeding or investigation is commenced, as to which an Indemnified Party proposes to demand indemnification, it shall notify the Company with reasonable promptness;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failure by an Indemnified Party to notify the Company shall not relieve the Company from its obligations hereunder. An Indemnified Party shall have the right to retain counsel of its own choice to represent it, and the fees, expenses and disbursements of such counsel shall be borne by the Company. Any such counsel shall, to the extent consistent with its professional responsibilities, cooperate with the Company and any counsel designated by the Company. The Company shall be liable for any settlement of any claim against any Indemnified Party made with the Company’s written consent. The Company shall not, without the prior written consent of Maxim, settle or compromise any claim, or permit a default or consent to the entry of any judgment in respect thereof, unless such settlement, compromise or consent (i) includes, as an unconditional term thereof, the giving by the claimant to all of the Indemnified Parties of an unconditional release from all liability in respect of such claim, and (ii) does not contain any factual or legal admission by or with respect to an Indemnified Party or an adverse statement with respect to the character, professionalism, expertise or reputation of any Indemnified Party or any action or inaction of any Indemnified Party.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color w:val="auto"/>
        </w:rPr>
        <w:t>February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Davion Healthcare PLC</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to provide for just and equitable contribution, if a claim for indemnification pursuant to these indemnification provisions is made but it is found in a final judgment by a court of competent jurisdiction (not subject to further appeal) that such indemnification may not be enforced in such case, even though the express provisions hereof provide for indemnification in such case, then the Company shall contribute to the Losses to which any Indemnified Party may be subject (i) in accordance with the relative benefits received by the Company and its stockholders, subsidiaries and affiliates, on the one hand, and the Indemnified Party, on the other hand, and (ii) if (and only if) the allocation provided in clause (i) of this sentence is not permitted by applicable law, in such proportion as to reflect not only the relative benefits, but also the relative fault of the Company, on the one hand, and the Indemnified Party, on the other hand, in connection with the statements, acts or omissions which resulted in such Losses as well as any relevant equitable considerations. No person found liable for a fraudulent misrepresentation shall be entitled to contribution from any person who is not also found liable for fraudulent misrepresentation. The relative benefits received (or anticipated to be received) by the Company and it stockholders, subsidiaries and affiliates shall be deemed to be equal to the aggregate consideration payable or receivable by such parties in connection with the transaction or transactions to which the Agreement relates relative to the amount of fees actually received by Maxim in connection with such transaction or transactions. Notwithstanding the foregoing, in no event shall the amount contributed by all Indemnified Parties exceed the amount of fees previously received by Maxim pursuant to the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termination nor completion of the Agreement shall affect these Indemnification Provisions which shall remain operative and in full force and effect. The Indemnification Provisions shall be binding upon the Company and its successors and assigns and shall inure to the benefit of the Indemnified Parties and their respective successors, assigns, heirs and personal representatives.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color w:val="auto"/>
        </w:rPr>
        <w:t>February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Davion Healthcare PLC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SCHEDULE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in this Exhibit shall have the meanings ascribed to such terms in the Agreement to which this Exhibit is attached.</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For any Financing, the Company shall:</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pay Maxim a cash fee of six percent (6.0%) of the amount of capital raised, invested or committed.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4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ecurities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March 10th, 2026, is entered into by and between DAVION HEALTHCARE PLC, an Irish public limited company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STREETERVILLE CAPITAL, LLC, a Utah limited liability company, its successors and/or assigns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56"/>
        <w:spacing w:after="0" w:line="266" w:lineRule="auto"/>
        <w:tabs>
          <w:tab w:leader="none" w:pos="12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and Investor are executing and delivering this Agreement in reliance upon an exemption from securities registration afforded by the Securities Act of 1933, as amended (the “ </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and the rules and regulations promulgated thereunder by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desires to purchase and Company desires to issue and sell, upon the terms and conditions set forth in this Agreement, (i) a Secured Convertible Promissory Note in the original principal amount of $1,655,000.00 in the form attached hereto as Exhibit A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convertible into ordinary shares, par value €0.01 per share, of Company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xml:space="preserve">”), upon the terms and subject to the limitations and conditions set forth in such Note, and (ii) a Warrant to Purchase Ordinary Shares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Note, the Warrant, the Security Agreement (as defined below), the IP Security Agreement (as defined below), and all other certificates, documents, agreements, resolutions and instruments delivered to any party under or in connection with this Agreement, as the same may be amended from time to time, are collectively referred to herein as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firstLine="656"/>
        <w:spacing w:after="0" w:line="268" w:lineRule="auto"/>
        <w:tabs>
          <w:tab w:leader="none" w:pos="12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means all Ordinary Shares issuable upon conversion of all or any portion of the Note;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means all Ordinary Shares issuable upon exercise of all or any portion of the Warrant; and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the Note, the Conversion Shares, the Warrant and the Warrant Shares.</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above recitals and other good and valuable consideration, the receipt and sufficiency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Company and Investor hereby agree as follows:</w:t>
      </w:r>
    </w:p>
    <w:p>
      <w:pPr>
        <w:spacing w:after="0" w:line="159"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Purchase of Securities</w:t>
      </w:r>
      <w:r>
        <w:rPr>
          <w:rFonts w:ascii="Times New Roman" w:cs="Times New Roman" w:eastAsia="Times New Roman" w:hAnsi="Times New Roman"/>
          <w:sz w:val="18"/>
          <w:szCs w:val="18"/>
          <w:color w:val="auto"/>
        </w:rPr>
        <w:t>. Subject to the terms and conditions set forth herein, Company shall issue and sell to Investor and Investor shall purchase from Company the Securities. In consideration thereof, Investor shall pay the Purchase Price (as defined below) to Company.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Subject to the satisfaction (or written waiver) of the conditions set forth in Section 5 and Section 6 below, the date of the issuance and sale of the Note pursuant to this Agreement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be March , 2026 or a mutually agreed upon date. The closing of the issuance of the Note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occur on the Closing Date by means of the exchange of electronic signatures but shall be deemed for all purposes to have occurred at the offices of Hansen Black Anderson Ashcraft PLLC in Lehi, Utah.</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Note includes an original issue discount of $135,000.00 (the “</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In addition, Company agrees to pay $20,000.00 to Investor to cover Investor’s legal fees, accounting costs, due diligence, monitoring and other transaction costs incurred in connection with the purchase and sale of the Securities (the “</w:t>
      </w:r>
      <w:r>
        <w:rPr>
          <w:rFonts w:ascii="Times New Roman" w:cs="Times New Roman" w:eastAsia="Times New Roman" w:hAnsi="Times New Roman"/>
          <w:sz w:val="18"/>
          <w:szCs w:val="18"/>
          <w:b w:val="1"/>
          <w:bCs w:val="1"/>
          <w:color w:val="auto"/>
        </w:rPr>
        <w:t>Transaction Expense Amount</w:t>
      </w:r>
      <w:r>
        <w:rPr>
          <w:rFonts w:ascii="Times New Roman" w:cs="Times New Roman" w:eastAsia="Times New Roman" w:hAnsi="Times New Roman"/>
          <w:sz w:val="18"/>
          <w:szCs w:val="18"/>
          <w:color w:val="auto"/>
        </w:rPr>
        <w:t>”). The OID and the Transaction Expense Amount will be included in the initial principal balance of the Note.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therefore, shall be $1,500,000.00, computed as follows: $1,655,000.00 initial principal balance, less the OID and the Transaction Expense Amount.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On the Closing Date, Investor shall pay the Purchase Price to Company via wire transfer of immediately available funds against delivery of the Note and the Warrant.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Collateral for the Note</w:t>
      </w:r>
      <w:r>
        <w:rPr>
          <w:rFonts w:ascii="Times New Roman" w:cs="Times New Roman" w:eastAsia="Times New Roman" w:hAnsi="Times New Roman"/>
          <w:sz w:val="18"/>
          <w:szCs w:val="18"/>
          <w:color w:val="auto"/>
        </w:rPr>
        <w:t>. The Note shall be secured by the collateral set forth in the Security Agreement attached hereto as Exhibit B</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xml:space="preserve">”) and the intellectual property set forth in the Intellectual Property Security Agreement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IP Security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7" w:name="page118"/>
    <w:bookmarkEnd w:id="117"/>
    <w:p>
      <w:pPr>
        <w:jc w:val="both"/>
        <w:ind w:left="-20" w:firstLine="656"/>
        <w:spacing w:after="0" w:line="266" w:lineRule="auto"/>
        <w:tabs>
          <w:tab w:leader="none" w:pos="127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Investor’s Representations and Warranties</w:t>
      </w:r>
      <w:r>
        <w:rPr>
          <w:rFonts w:ascii="Times New Roman" w:cs="Times New Roman" w:eastAsia="Times New Roman" w:hAnsi="Times New Roman"/>
          <w:sz w:val="18"/>
          <w:szCs w:val="18"/>
          <w:color w:val="auto"/>
        </w:rPr>
        <w:t>. Investor represents and warrants to Company that as of the Closing Date: (i) this Agreement has been duly and validly authorized by Investor; (ii) this Agreement constitutes a valid and binding agreement of Investor enforceable in accordance with its terms; and (iii) Investor is an “accredited investor” as that term is defined in Rule 501(a) of Regulation D of the 1933 Act.</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51" w:lineRule="auto"/>
        <w:tabs>
          <w:tab w:leader="none" w:pos="127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Representations and Warranties</w:t>
      </w:r>
      <w:r>
        <w:rPr>
          <w:rFonts w:ascii="Times New Roman" w:cs="Times New Roman" w:eastAsia="Times New Roman" w:hAnsi="Times New Roman"/>
          <w:sz w:val="18"/>
          <w:szCs w:val="18"/>
          <w:color w:val="auto"/>
        </w:rPr>
        <w:t>. Company represents and warrants to Investor that as of each Closing Date: (i) Company is a corporation duly organized, validly existing and in good standing under the laws of the jurisdiction of its formation and has the requisite corporate power to own its properties and to carry on its business as now being conducted; (ii) Company is duly qualified to do business and is in good standing in each jurisdiction where the nature of the business conducted or property owned by it makes such qualification necessary; (iii) after the first day that the Ordinary Shares are listed for trading on Nasdaq (the “</w:t>
      </w:r>
      <w:r>
        <w:rPr>
          <w:rFonts w:ascii="Times New Roman" w:cs="Times New Roman" w:eastAsia="Times New Roman" w:hAnsi="Times New Roman"/>
          <w:sz w:val="18"/>
          <w:szCs w:val="18"/>
          <w:b w:val="1"/>
          <w:bCs w:val="1"/>
          <w:color w:val="auto"/>
        </w:rPr>
        <w:t>Initial Listing Date</w:t>
      </w:r>
      <w:r>
        <w:rPr>
          <w:rFonts w:ascii="Times New Roman" w:cs="Times New Roman" w:eastAsia="Times New Roman" w:hAnsi="Times New Roman"/>
          <w:sz w:val="18"/>
          <w:szCs w:val="18"/>
          <w:color w:val="auto"/>
        </w:rPr>
        <w:t>”), Company will have registered its Ordinary Shares under Section 12(b) of the Securities Exchange Act of 1934, as amended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and will be obligated to file reports pursuant to Section 13 or Section 15(d) of the 1934 Act; (iv) each of the Transaction Documents and the transactions contemplated hereby and thereby, have been duly and validly authorized by Company and all necessary actions have been taken; (v) this Agreement and all the other Transaction Documents have been duly executed and delivered by Company and constitute the valid and binding obligations of Company enforceable in accordance with their terms; (vi) the execution and delivery of the Transaction Documents by Company, the issuance of the Securities in accordance with the terms hereof, and the consummation by Company of the other transactions contemplated by the Transaction Documents do not and will not conflict with or result in a breach by Company of any of the terms or provisions of, or constitute a default under (a) Company’s formation documents or bylaws, each as currently in effect, (b) any indenture, mortgage, deed of trust, or other material agreement or instrument to which Company is a party or by which it or any of its properties or assets are bound, including, without limitation, any listing agreement for the Ordinary Shares, or (c) any existing applicable law, rule, or regulation or any applicable decree, judgment, or order of any court, United States federal, state or foreign regulatory body, administrative agency, or other governmental body having jurisdiction over Company or any of Company’s properties or assets; (vii) no further authorization, approval or consent of any court, governmental body, regulatory agency, self-regulatory organization, or stock exchange or market or the stockholders or any investor or lender of Company is required to be obtained by Company for the issuance of the Securities to Investor or the entering into of the Transaction Documents; (viii) there is no action, suit, proceeding, inquiry or investigation before or by any court, public board or body pending or, to the knowledge of Company, threatened against or affecting Company before or by any governmental authority or non-governmental department, commission, board, bureau, agency or instrumentality or any other person, wherein an unfavorable decision, ruling or finding would have a material adverse effect on Company or which would adversely affect the validity or enforceability of, or the authority or ability of Company to perform its obligations under, any of the Transaction Documents; (ix) Company is not, nor has it been at any time in the previous twelve (12) months, a “Shell Company,” as such type of “issuer” is described in Rule 144(i)(1) under the 1933 Act; (x) with respect to any commissions, placement agent or finder’s fees or similar payments that will or would become due and owing by Company to any person or entity as a result of this Agreement or the transactions contemplated hereby (“</w:t>
      </w:r>
      <w:r>
        <w:rPr>
          <w:rFonts w:ascii="Times New Roman" w:cs="Times New Roman" w:eastAsia="Times New Roman" w:hAnsi="Times New Roman"/>
          <w:sz w:val="18"/>
          <w:szCs w:val="18"/>
          <w:b w:val="1"/>
          <w:bCs w:val="1"/>
          <w:color w:val="auto"/>
        </w:rPr>
        <w:t>Broker Fees</w:t>
      </w:r>
      <w:r>
        <w:rPr>
          <w:rFonts w:ascii="Times New Roman" w:cs="Times New Roman" w:eastAsia="Times New Roman" w:hAnsi="Times New Roman"/>
          <w:sz w:val="18"/>
          <w:szCs w:val="18"/>
          <w:color w:val="auto"/>
        </w:rPr>
        <w:t>”), any such Broker Fees will be made in full compliance with all applicable laws and regulations and only to a person or entity that is a registered investment adviser or registered broker-dealer; (xi) Investor shall have no obligation with respect to any Broker Fees or with respect to any claims made by or on behalf of other persons for fees of a type contemplated in this subsection that may be due in connection with the transactions contemplated hereby and Company shall indemnify and hold harmless each of Investor, Investor’s employees, officers, directors, stockholders, members, managers, agents, and partners, and their respective affiliates, from and against all claims, losses, damages, costs (including the costs of preparation and attorneys’ fees) and expenses suffered in respect of any such claimed Broker Fees; (xii) neither Investor nor any of its officers, directors, stockholders, members, managers, employees, agents or representatives has made any representations or warranties to Company or any of its officers, directors, employees, agents or representatives except as expressly set forth in the Transaction Documents and, in making its decision to enter into the transactions contemplated by the Transaction Documents, Company is not relying on any representation, warranty, covenant or promise of Investor or its officers, directors, members, managers, employees, agents or representatives other than as set forth in the Transaction Documents; (xiii) Company acknowledges that the State of Utah has a reasonable relationship and sufficient contacts to the transactions contemplated by the Transaction Documents and any dispute that may arise related thereto such that the laws and venue of the State of Utah, as set forth more specifically in Section 11.2 below, shall be applicable to the Transaction Documents and the transactions contemplated therein; (xiv) Company acknowledges that Investor is not registered as a “dealer” under the 1934 Act; and (xv) Company has performed due diligence and background research on Investor and its affiliates and has received and reviewed the due diligence packet provided by Investor. Company, being aware of the matters and legal issues described in subsections (xiv) and (xv) above, acknowledges and agrees that such matters, or any similar matters, have no bearing on the transactions contemplated by the Transaction Documents and covenants and agrees it will not use any such information or legal theory as a defense to performance of its obligations under the Transaction Documents or in any attempt to avoid, modify, reduce, rescind or void such obligations.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118" w:name="page119"/>
    <w:bookmarkEnd w:id="118"/>
    <w:p>
      <w:pPr>
        <w:jc w:val="both"/>
        <w:ind w:firstLine="656"/>
        <w:spacing w:after="0" w:line="267" w:lineRule="auto"/>
        <w:tabs>
          <w:tab w:leader="none" w:pos="1296"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Covenants</w:t>
      </w:r>
      <w:r>
        <w:rPr>
          <w:rFonts w:ascii="Times New Roman" w:cs="Times New Roman" w:eastAsia="Times New Roman" w:hAnsi="Times New Roman"/>
          <w:sz w:val="17"/>
          <w:szCs w:val="17"/>
          <w:color w:val="auto"/>
        </w:rPr>
        <w:t>. Until all of Company’s obligations under all of the Transaction Documents are paid and performed in full, or within the timeframes otherwise specifically set forth below, Company will at all times comply with the following covenants: (i) so long as Investor beneficially owns any of the Securities and for at least twenty (20) Trading Days (as defined in the Note) thereafter, Company will timely file on the applicable deadline all reports required to be filed with the SEC pursuant to Sections 13 or 15(d) of the 1934 Act, and will take all reasonable action under its control to ensure that adequate current public information with respect to Company, as required in accordance with Rule 144 of the 1933 Act, is publicly available, and will not terminate its status as an issuer required to file reports under the 1934 Act even if the 1934 Act or the rules and regulations thereunder would permit such termination; (ii) when issued, the Conversion Shares and the Warrant Shares will be duly authorized, validly issued, fully paid and non-assessable, free and clear of all liens, claims, charges and encumbrances; (iii) following the Initial Listing Date, the Ordinary Shares shall be listed or quoted for trading on NYSE or Nasdaq; (iv) following the Initial Listing Date, trading in Company’s Ordinary Shares will not be suspended, halted, chilled, frozen, reach zero bid or otherwise cease trading on Company’s principal trading market; (v) neither Company nor any of its subsidiaries will make any Restricted Issuance (as defined below) without Investor’s prior written consent, which consent may be granted or withheld in Investor’s sole and absolute discretion;</w:t>
      </w:r>
    </w:p>
    <w:p>
      <w:pPr>
        <w:spacing w:after="0" w:line="2" w:lineRule="exact"/>
        <w:rPr>
          <w:rFonts w:ascii="Times New Roman" w:cs="Times New Roman" w:eastAsia="Times New Roman" w:hAnsi="Times New Roman"/>
          <w:sz w:val="17"/>
          <w:szCs w:val="17"/>
          <w:color w:val="auto"/>
        </w:rPr>
      </w:pPr>
    </w:p>
    <w:p>
      <w:pPr>
        <w:jc w:val="both"/>
        <w:ind w:firstLine="8"/>
        <w:spacing w:after="0" w:line="252" w:lineRule="auto"/>
        <w:tabs>
          <w:tab w:leader="none" w:pos="30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will not enter into any agreement or otherwise agree to any covenant, condition, or obligation that locks up, restricts in any way or otherwise prohibits Company: (a) from entering into a variable rate transaction with Investor or any affiliate of Investor, or (b) from issuing Ordinary Shares, preferred stock, warrants, convertible notes, other debt securities, or any other Company securities to Investor or any affiliate of Investor; and (vii) within thirty (30) days of the Initial Listing Date, Company shall file a Form F-1 Registration Statement to be declared effective by the SEC within ninety (90) days of the Initial Listing Date that includes a sufficient number of Ordinary Shares for Investor’s resale of the Conversion Shares and the Warrant Shares, but in no event fewer than 350,000 Ordinary Shares.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purposes hereof, the term “</w:t>
      </w:r>
      <w:r>
        <w:rPr>
          <w:rFonts w:ascii="Times New Roman" w:cs="Times New Roman" w:eastAsia="Times New Roman" w:hAnsi="Times New Roman"/>
          <w:sz w:val="18"/>
          <w:szCs w:val="18"/>
          <w:b w:val="1"/>
          <w:bCs w:val="1"/>
          <w:color w:val="auto"/>
        </w:rPr>
        <w:t>Restricted Issuance</w:t>
      </w:r>
      <w:r>
        <w:rPr>
          <w:rFonts w:ascii="Times New Roman" w:cs="Times New Roman" w:eastAsia="Times New Roman" w:hAnsi="Times New Roman"/>
          <w:sz w:val="18"/>
          <w:szCs w:val="18"/>
          <w:color w:val="auto"/>
        </w:rPr>
        <w:t>” means the issuance, incurrence or guaranty of any debt obligations (including any merchant cash advance, account receivable factoring or other similar agreement), other than trade payables in the ordinary course of business, or the issuance of any securities that (1) have or may have conversion rights of any kind, contingent, conditional or otherwise, in which the number of shares that may be issued pursuant to such conversion right varies with the market price of the Ordinary Shares; (2) are or may become convertible into Ordinary Shares (including without limitation convertible debt, warrants or convertible preferred shares), with a conversion price that varies with the market price of the Ordinary Shares, even if such security only becomes convertible following an event of default, the passage of time, or another trigger event or condition; (3) have a fixed conversion price, exercise price or exchange price that is subject to being reset at some future date at any time after the initial issuance of such debt or equity security (A) due to a change in the market price of the Ordinary Shares since the date of the initial issuance or (B) upon the occurrence of specified or contingent events directly or indirectly related to the business of Company (including, without limitation, any “full ratchet” or “weighted average” anti-dilution provisions, but not including any standard anti-dilution protection for any reorganization, recapitalization, non-cash dividend, stock split or other similar transaction); or (4) are issued or will be issued in connection with a Section 3(a)(9) exchange, a Section 3(a)(10) settlement, or any other similar settlement or exchange. For the avoidance of doubt, Ordinary Shares issued pursuant to any of the following will not be considered Restricted Issuances: (i) ATM facilities; and (ii) primary offerings of Ordinary Shares or warrants without variable price mechanics or any anti-dilution, “alternate cash exercise” or other similar mechanics or provisions that would allow for the reduction of the exercise price of the warrants or increase the number of shares exercisable under the warrants.</w:t>
      </w:r>
    </w:p>
    <w:p>
      <w:pPr>
        <w:spacing w:after="0" w:line="187" w:lineRule="exact"/>
        <w:rPr>
          <w:sz w:val="20"/>
          <w:szCs w:val="20"/>
          <w:color w:val="auto"/>
        </w:rPr>
      </w:pPr>
    </w:p>
    <w:p>
      <w:pPr>
        <w:ind w:right="20" w:firstLine="656"/>
        <w:spacing w:after="0" w:line="282" w:lineRule="auto"/>
        <w:tabs>
          <w:tab w:leader="none" w:pos="12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Company’s Obligation to Sell</w:t>
      </w:r>
      <w:r>
        <w:rPr>
          <w:rFonts w:ascii="Times New Roman" w:cs="Times New Roman" w:eastAsia="Times New Roman" w:hAnsi="Times New Roman"/>
          <w:sz w:val="18"/>
          <w:szCs w:val="18"/>
          <w:color w:val="auto"/>
        </w:rPr>
        <w:t>. The obligation of Company hereunder to issue and sell the Securities to Investor at the Closing is subject to the satisfaction, on or before the Closing Date, of each of the following conditions:</w:t>
      </w:r>
    </w:p>
    <w:p>
      <w:pPr>
        <w:spacing w:after="0" w:line="16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Investor shall have executed all applicable Transaction Documents and delivered the same to Company.</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Investor shall have delivered the Purchase Price to Company.</w:t>
      </w:r>
    </w:p>
    <w:p>
      <w:pPr>
        <w:spacing w:after="0" w:line="225" w:lineRule="exact"/>
        <w:rPr>
          <w:sz w:val="20"/>
          <w:szCs w:val="20"/>
          <w:color w:val="auto"/>
        </w:rPr>
      </w:pPr>
    </w:p>
    <w:p>
      <w:pPr>
        <w:jc w:val="both"/>
        <w:ind w:firstLine="656"/>
        <w:spacing w:after="0" w:line="266" w:lineRule="auto"/>
        <w:tabs>
          <w:tab w:leader="none" w:pos="129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Investor’s Obligation to Purchase</w:t>
      </w:r>
      <w:r>
        <w:rPr>
          <w:rFonts w:ascii="Times New Roman" w:cs="Times New Roman" w:eastAsia="Times New Roman" w:hAnsi="Times New Roman"/>
          <w:sz w:val="18"/>
          <w:szCs w:val="18"/>
          <w:color w:val="auto"/>
        </w:rPr>
        <w:t>. The obligation of Investor hereunder to purchase the Note is subject to the satisfaction, on or before the Closing Date, of each of the following conditions, provided that these conditions are for Investor’s sole benefit and may be waived by Investor at any time in its sole discretion:</w:t>
      </w:r>
    </w:p>
    <w:p>
      <w:pPr>
        <w:spacing w:after="0" w:line="17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Company shall have executed all applicable Transaction Documents and delivered the same to Investor.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9" w:name="page120"/>
    <w:bookmarkEnd w:id="119"/>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RESERVED.</w:t>
      </w:r>
    </w:p>
    <w:p>
      <w:pPr>
        <w:spacing w:after="0" w:line="25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6.3. Company shall have delivered to Investor a fully executed Officer’s Certificate substantially in the form attached hereto as Exhibit E evidencing Company’s approval of the Transaction Documents.</w:t>
      </w:r>
    </w:p>
    <w:p>
      <w:pPr>
        <w:spacing w:after="0" w:line="16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RESERVED.</w:t>
      </w:r>
    </w:p>
    <w:p>
      <w:pPr>
        <w:spacing w:after="0" w:line="25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6.5. Company shall have executed and delivered any other documents necessary to effectuate the transactions contemplated by the Transaction Documents.</w:t>
      </w:r>
    </w:p>
    <w:p>
      <w:pPr>
        <w:spacing w:after="0" w:line="162" w:lineRule="exact"/>
        <w:rPr>
          <w:sz w:val="20"/>
          <w:szCs w:val="20"/>
          <w:color w:val="auto"/>
        </w:rPr>
      </w:pPr>
    </w:p>
    <w:p>
      <w:pPr>
        <w:jc w:val="both"/>
        <w:ind w:firstLine="656"/>
        <w:spacing w:after="0" w:line="258" w:lineRule="auto"/>
        <w:tabs>
          <w:tab w:leader="none" w:pos="129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On the date hereof, Company will reserve 350,000 Ordinary Shares from its authorized and unissued Ordinary Shares to provide for all issuances of Conversion Shares and Warrant Shares (the “</w:t>
      </w: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xml:space="preserve">”). Company further agrees to add additional Ordinary Shares to the Share Reserve in increments of 10,000 shares as and when requested by Investor if as of the date of any such request the number of Ordinary Shares being held in the Share Reserve is less than the number of Ordinary Shares obtained by dividing the outstanding balance of the Note as of the date of the request by the Conversion Price (as defined in the Note)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number of shares necessary to exercise the Warrant in full.</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Most Favored Nation</w:t>
      </w:r>
      <w:r>
        <w:rPr>
          <w:rFonts w:ascii="Times New Roman" w:cs="Times New Roman" w:eastAsia="Times New Roman" w:hAnsi="Times New Roman"/>
          <w:sz w:val="18"/>
          <w:szCs w:val="18"/>
          <w:color w:val="auto"/>
        </w:rPr>
        <w:t>. So long as the Note is outstanding, upon any issuance by Company of any security with any economic term or condition more favorable to the holder of such security or with a term in favor of the holder of such security that was not similarly provided to Investor in the Transaction Documents, then Company shall notify Investor of such additional or more favorable term and such term, at Investor’s option, shall become a part of the Transaction Documents for the benefit of Investor. Additionally, if Company fails to notify Investor of any such additional or more favorable term, but Investor becomes aware that Company has granted such a term to any third party, Investor may notify Company of such additional or more favorable term and such term shall become a part of the Transaction Documents retroactive to the date on which such term was granted to the applicable third party. The types of terms contained in another security that may be more favorable to the holder of such security include, but are not limited to, terms addressing conversion discounts, conversion lookback periods, interest rates, original issue discounts, stock sales prices, conversion prices, warrant coverage, warrant exercise prices, and anti-dilution/conversion and exercise price resets.</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Limitation</w:t>
      </w:r>
      <w:r>
        <w:rPr>
          <w:rFonts w:ascii="Times New Roman" w:cs="Times New Roman" w:eastAsia="Times New Roman" w:hAnsi="Times New Roman"/>
          <w:sz w:val="18"/>
          <w:szCs w:val="18"/>
          <w:color w:val="auto"/>
        </w:rPr>
        <w:t>. During the period beginning on the Closing Date and ending on the 90-day anniversary of the Closing Date, Investor agrees that it will not sell, during any calendar week, Ordinary Shares in an amount exceeding five percent (5%) of the total weekly dollar trading volume of the Ordinary Shares on all trading markets (including regular and extended trading) for such week (the “</w:t>
      </w:r>
      <w:r>
        <w:rPr>
          <w:rFonts w:ascii="Times New Roman" w:cs="Times New Roman" w:eastAsia="Times New Roman" w:hAnsi="Times New Roman"/>
          <w:sz w:val="18"/>
          <w:szCs w:val="18"/>
          <w:b w:val="1"/>
          <w:bCs w:val="1"/>
          <w:color w:val="auto"/>
        </w:rPr>
        <w:t>Weekly Sales Cap</w:t>
      </w:r>
      <w:r>
        <w:rPr>
          <w:rFonts w:ascii="Times New Roman" w:cs="Times New Roman" w:eastAsia="Times New Roman" w:hAnsi="Times New Roman"/>
          <w:sz w:val="18"/>
          <w:szCs w:val="18"/>
          <w:color w:val="auto"/>
        </w:rPr>
        <w:t>”). In the event Investor breaches such covenant, Company’s sole and exclusive remedy shall be the reduction of the outstanding balance of the Note by the dollar amount that Investor’s sales of Ordinary Shares exceeded the Weekly Sales Cap. For the avoidance of doubt, both the Weekly Sales Cap and Company’s remedy related to such limitation.</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FPI Representations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OFAC Certification</w:t>
      </w:r>
      <w:r>
        <w:rPr>
          <w:rFonts w:ascii="Times New Roman" w:cs="Times New Roman" w:eastAsia="Times New Roman" w:hAnsi="Times New Roman"/>
          <w:sz w:val="18"/>
          <w:szCs w:val="18"/>
          <w:color w:val="auto"/>
        </w:rPr>
        <w:t>. Company certifies that (i) it is not acting on behalf of any person, group, entity, or nation named by any Executive Order or the United States Treasury Department, through its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otherwise, as a terrorist, “Specially Designated Nation”, “Blocked Person”, or other banned or blocked person, entity, nation, or transaction pursuant to any law, order, rule or regulation that is enforced or administered by OFAC or another department of the United States government, and (ii) Company is not engaged in this transaction on behalf of, or instigating or facilitating this transaction on behalf of, any such person, group, entity or nation.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0" w:name="page121"/>
    <w:bookmarkEnd w:id="12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Company, nor any of its subsidiaries, nor any director, officer, agent, employee or other person acting on behalf of Company or any subsidiary has, in the course of his actions for, or on behalf of, Company, used any corporate funds for any unlawful contribution, gift, entertainment or other unlawful expenses relating to political activity; made any direct or indirect unlawful payment to any foreign or domestic government official or employee from corporate funds; violated or is in violation of any provision of the U.S. Foreign Corrupt Practices Act of 1977, as amended, or made any bribe, rebate, payoff, influence payment, kickback or other unlawful payment to any foreign or domestic government official or employee.</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Company shall not (i) be or become subject at any time to any law, regulation, or list of any government agency (including, without limitation, the OFAC) that prohibits or limits Investor from making any advance or extension of credit to Company or from otherwise conducting business with Company, or (ii) fail to provide documentary and other evidence of Company’s identity as may be requested by Investor at any time to enable Investor to verify Company’s identity or to comply with any applicable law or regulation, including, without limitation, Section 326 of the USA Patriot Act of 2001, 31 U.S.C. Section 5318. Company shall comply with all requirements of law relating to money laundering, anti-terrorism, trade embargos and economic sanctions, now or hereafter in effect. Upon Investor’s request from time to time, Company shall certify in writing to Investor that Company’s representations, warranties and obligations under this Section 10.3 remain true and correct and have not been breached. Company shall immediately notify Investor in writing if any of such representations, warranties or covenants are no longer true or have been breached or if Company has a reasonable basis to believe that they may no longer be true or have been breached. In connection with such an event, Company shall comply with all requirements of law and directives of governmental authorities and, at Investor’s request, provide to Investor copies of all notices, reports and other communications exchanged with, or received from, governmental authorities relating to such an event. Company shall also reimburse Investor any expense reasonably incurred by Investor in evaluating the effect of such an event on the Pre-Paid Purchases contemplated hereby, in obtaining any necessary license from governmental authorities as may be necessary for Investor to enforce its rights under the Transaction Documents, and in complying with all requirements of law applicable to Investor as the result of the existence of such an event and for any penalties or fines imposed upon Investor as a result thereof.</w:t>
      </w:r>
    </w:p>
    <w:p>
      <w:pPr>
        <w:spacing w:after="0" w:line="196" w:lineRule="exact"/>
        <w:rPr>
          <w:sz w:val="20"/>
          <w:szCs w:val="20"/>
          <w:color w:val="auto"/>
        </w:rPr>
      </w:pPr>
    </w:p>
    <w:p>
      <w:pPr>
        <w:jc w:val="both"/>
        <w:ind w:firstLine="656"/>
        <w:spacing w:after="0" w:line="266" w:lineRule="auto"/>
        <w:tabs>
          <w:tab w:leader="none" w:pos="129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provisions set forth in this Section 11 shall apply to this Agreement, as well as all other Transaction Documents as if these terms were fully set forth therein; provided, however, that in the event there is a conflict between any provision set forth in this Section 11 and any provision in any other Transaction Document, the provision in such other Transaction Document shall govern .</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Arbitration of Claims</w:t>
      </w:r>
      <w:r>
        <w:rPr>
          <w:rFonts w:ascii="Times New Roman" w:cs="Times New Roman" w:eastAsia="Times New Roman" w:hAnsi="Times New Roman"/>
          <w:sz w:val="18"/>
          <w:szCs w:val="18"/>
          <w:color w:val="auto"/>
        </w:rPr>
        <w:t>. The parties shall submit all Claims (as defined in Exhibit F</w:t>
      </w:r>
      <w:r>
        <w:rPr>
          <w:rFonts w:ascii="Times New Roman" w:cs="Times New Roman" w:eastAsia="Times New Roman" w:hAnsi="Times New Roman"/>
          <w:sz w:val="18"/>
          <w:szCs w:val="18"/>
          <w:u w:val="single" w:color="auto"/>
          <w:color w:val="auto"/>
        </w:rPr>
        <w:t>t F</w:t>
      </w:r>
      <w:r>
        <w:rPr>
          <w:rFonts w:ascii="Times New Roman" w:cs="Times New Roman" w:eastAsia="Times New Roman" w:hAnsi="Times New Roman"/>
          <w:sz w:val="18"/>
          <w:szCs w:val="18"/>
          <w:color w:val="auto"/>
        </w:rPr>
        <w:t xml:space="preserve">) arising under this Agreement or any other Transaction Document or any other agreement between the parties and their affiliates or any Claim relating to the relationship of the parties to binding arbitration pursuant to the arbitration provisions set forth in Exhibit </w:t>
      </w:r>
      <w:r>
        <w:rPr>
          <w:rFonts w:ascii="Times New Roman" w:cs="Times New Roman" w:eastAsia="Times New Roman" w:hAnsi="Times New Roman"/>
          <w:sz w:val="18"/>
          <w:szCs w:val="18"/>
          <w:u w:val="single" w:color="auto"/>
          <w:color w:val="auto"/>
        </w:rPr>
        <w:t>F F</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color w:val="auto"/>
        </w:rPr>
        <w:t>Arbitration Provisions</w:t>
      </w:r>
      <w:r>
        <w:rPr>
          <w:rFonts w:ascii="Times New Roman" w:cs="Times New Roman" w:eastAsia="Times New Roman" w:hAnsi="Times New Roman"/>
          <w:sz w:val="18"/>
          <w:szCs w:val="18"/>
          <w:color w:val="auto"/>
        </w:rPr>
        <w:t>”). For the avoidance of doubt, the parties agree that the injunction described in Section 11.3 below may be pursued in an arbitration that is separate and apart from any other arbitration regarding all other Claims arising under the Transaction Documents. The parties hereby acknowledge and agree that the Arbitration Provisions are unconditionally binding on the parties hereto and are severable from all other provisions of this Agreement. By executing this Agreement, Company represents, warrants and covenants that Company has reviewed the Arbitration Provisions carefully, consulted with legal counsel about such provisions (or waived its right to do so), understands that the Arbitration Provisions are intended to allow for the expeditious and efficient resolution of any dispute hereunder, agrees to the terms and limitations set forth in the Arbitration Provisions, and that Company will not take a position contrary to the foregoing representations. Company acknowledges and agrees that Investor may rely upon the foregoing representations and covenants of Company regarding the Arbitration Provisions.</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Agreement shall be construed and enforced in accordance with, and all questions concerning the construction, validity, interpretation and performance of this Agreement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Each party consents to and expressly agrees that the exclusive venue for arbitration of any dispute arising out of or relating to any Transaction Document or the relationship of the parties or their affiliates shall be in Salt Lake County, Utah. Company acknowledges that the governing law and venue provisions set forth in this Section 11.2 are material terms to induce Investor to enter into the Transaction Documents and that but for Company’s agreements set forth in this Section 11.2 Investor would not have entered into the Transaction Documents.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1" w:name="page122"/>
    <w:bookmarkEnd w:id="121"/>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Company acknowledges and agrees that Investor may suffer irreparable harm if Company fails to perform any material provision of this Agreement or any of the other Transaction Documents in accordance with its specific terms. It is accordingly agreed that Investor shall be entitled to one or more injunctions to prevent or cure breaches of the provisions of this Agreement or such other Transaction Document and to enforce specifically the terms and provisions hereof or thereof, this being in addition to any other remedy to which Investor may be entitled under the Transaction Documents, at law or in equity. Company specifically agrees that: (i) following an Event of Default (as defined in the Note) under the Note, Investor shall have the right to seek injunctive relief from a court or an arbitrator prohibiting Company from issuing any of its Ordinary Shares or preferred stock to any party unless fifty percent (50%) of the gross proceeds received by Company in connection with such issuance are simultaneously used by Company to make a payment under the Note; (ii) following a breach of Section 4(vi) above, Investor shall have the right to seek injunctive relief from a court or arbitrator invalidating such lock-up; and (iii) if Company or any of its subsidiaries enters into a definitive agreement that contemplates a Fundamental Transaction (as defined in the Note), unless such agreement contains a closing condition that the Note is repaid in full upon consummation of the transaction or Investor has provided its written consent in writing to such Fundamental Transaction, Investor shall have the right to seek injunctive relief from a court or arbitrator preventing the consummation of such transaction. Company specifically acknowledges that Investor’s right to obtain specific performance constitutes bargained for leverage and that the loss of such leverage would result in irreparable harm to Investor. For the avoidance of doubt, in the event Investor seeks to obtain an injunction from a court or an arbitrator against Company or specific performance of any provision of any Transaction Document, such action shall not be a waiver of any right of Investor under any Transaction Document, at law, or in equity, including without limitation its rights to arbitrate any Claim pursuant to the terms of the Transaction Documents, nor shall Investor’s pursuit of an injunction prevent Investor, under the doctrines of claim preclusion, issues preclusion, res judicata or other similar legal doctrines, from pursuing other Claims in the future in a separate arbitration.</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Calculation Disputes</w:t>
      </w:r>
      <w:r>
        <w:rPr>
          <w:rFonts w:ascii="Times New Roman" w:cs="Times New Roman" w:eastAsia="Times New Roman" w:hAnsi="Times New Roman"/>
          <w:sz w:val="18"/>
          <w:szCs w:val="18"/>
          <w:color w:val="auto"/>
        </w:rPr>
        <w:t>. Notwithstanding the Arbitration Provisions, in the case of a dispute as to any determination or arithmetic calculation under the Transaction Documents, including without limitation, calculating the outstanding balance, Conversion Price, Conversion Shares, or VWAP (as defined in the Note) (each, a “</w:t>
      </w:r>
      <w:r>
        <w:rPr>
          <w:rFonts w:ascii="Times New Roman" w:cs="Times New Roman" w:eastAsia="Times New Roman" w:hAnsi="Times New Roman"/>
          <w:sz w:val="18"/>
          <w:szCs w:val="18"/>
          <w:b w:val="1"/>
          <w:bCs w:val="1"/>
          <w:color w:val="auto"/>
        </w:rPr>
        <w:t>Calculation</w:t>
      </w:r>
      <w:r>
        <w:rPr>
          <w:rFonts w:ascii="Times New Roman" w:cs="Times New Roman" w:eastAsia="Times New Roman" w:hAnsi="Times New Roman"/>
          <w:sz w:val="18"/>
          <w:szCs w:val="18"/>
          <w:color w:val="auto"/>
        </w:rPr>
        <w:t>”), Company or Investor (as the case may be) shall submit any disputed Calculation via email or facsimile with confirmation of receipt (i) within two (2) Trading Days after receipt of the applicable notice giving rise to such dispute to Company or Investor (as the case may be) or (ii) if no notice gave rise to such dispute, at any time after Investor learned of the circumstances giving rise to such dispute. If Investor and Company are unable to agree upon such Calculation within two (2) Trading Days of such disputed Calculation being submitted to Company or Investor (as the case may be), then Investor will promptly submit via email or facsimile the disputed Calculation to Unkar Systems Inc. (“</w:t>
      </w:r>
      <w:r>
        <w:rPr>
          <w:rFonts w:ascii="Times New Roman" w:cs="Times New Roman" w:eastAsia="Times New Roman" w:hAnsi="Times New Roman"/>
          <w:sz w:val="18"/>
          <w:szCs w:val="18"/>
          <w:b w:val="1"/>
          <w:bCs w:val="1"/>
          <w:color w:val="auto"/>
        </w:rPr>
        <w:t>Unkar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Systems</w:t>
      </w:r>
      <w:r>
        <w:rPr>
          <w:rFonts w:ascii="Times New Roman" w:cs="Times New Roman" w:eastAsia="Times New Roman" w:hAnsi="Times New Roman"/>
          <w:sz w:val="18"/>
          <w:szCs w:val="18"/>
          <w:color w:val="auto"/>
        </w:rPr>
        <w:t>”). Investor shall cause Unkar Systems to perform the Calculation and notify Company and Investor of the results no later than ten (10)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from the time it receives such disputed Calculation. Unkar Systems’ determination of the disputed Calculation shall be binding upon all parties absent demonstrable error. Unkar Systems’ fee for performing such Calculation shall be paid by the incorrect party, or if both parties are incorrect, by the party whose Calculation is furthest from the correct Calculation as determined by Unkar Systems. In the event Company is the losing party, no extension of the Delivery Date (as defined in the Note) shall be granted and Company shall incur all effects for failing to deliver the applicable shares in a timely manner as set forth in the Transaction Documents. Notwithstanding the foregoing, Investor may, in its sole discretion, designate an independent, reputable investment bank or accounting firm other than Unkar Systems to resolve any such dispute and in such event, all references to “Unkar Systems” herein will be replaced with references to such independent, reputable investment bank or accounting firm so designated by Investor.</w:t>
      </w:r>
    </w:p>
    <w:p>
      <w:pPr>
        <w:spacing w:after="0" w:line="19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each of which shall be deemed an original, but all of which together shall constitute one and the same instrument. Counterparts may be signed via electronic signature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this Agreement are for convenience of reference only and shall not form part of, or affect the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2" w:name="page123"/>
    <w:bookmarkEnd w:id="12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is invalid or unenforceable under any applicable statute or rule of law, then such provision shall be deemed inoperative to the extent that it may conflict therewith and shall be deemed modified to conform to such statute or rule of law. Any provision hereof which may prove invalid or unenforceable under any law shall not affect the validity or enforceability of any other provision hereof.</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Transaction Documents, contains the entire understanding of the parties with respect to the matters covered herein and therein and, except as specifically set forth herein or therein, neither Company nor Investor makes any representation, warranty, covenant or undertaking with respect to such matters. For the avoidance of doubt, all prior term sheets or other documents between Company and Investor, or any affiliate thereof, related to the transactions contemplated by the Transaction Documents (collectively, “</w:t>
      </w:r>
      <w:r>
        <w:rPr>
          <w:rFonts w:ascii="Times New Roman" w:cs="Times New Roman" w:eastAsia="Times New Roman" w:hAnsi="Times New Roman"/>
          <w:sz w:val="18"/>
          <w:szCs w:val="18"/>
          <w:b w:val="1"/>
          <w:b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that may have been entered into between Company and Investor, or any affiliate thereof, are hereby null and void and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replaced in their entirety by the Transaction Documents. To the extent there is a conflict between any term set forth in any Prior Agreement and the term(s) of the Transaction Documents, the Transaction Documents shall govern.</w:t>
      </w:r>
    </w:p>
    <w:p>
      <w:pPr>
        <w:spacing w:after="0" w:line="18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provision of this Agreement may be waived or amended other than by an instrument in writing signed by both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w:t>
      </w:r>
    </w:p>
    <w:p>
      <w:pPr>
        <w:spacing w:after="0" w:line="20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hereunder shall be given in writing (unless otherwise specified herein) and shall be deemed effectively given on the earliest of: (i) the date delivered, if delivered by personal delivery as against written receipt therefor or by email to an executive officer named below or such officer’s successor, or by facsimile (with successful transmission confirmation which is kept by sending party), (ii) the earlier of the date delivered or the third Trading Day after deposit, postage prepaid, in the United States Postal Service by certified mail or with an international courier, or (iii) the earlier of the date delivered or the third Trading Day after mailing by express courier, with delivery costs and fees prepaid, in each case, addressed to each of the other parties thereunto entitled at the following addresses(or at such other addresses as such party may designate by five (5) calendar days’ advance written notice similarly given to each of the other parties hereto):</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Company:</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Davion Healthcare PLC</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Attn: Jack Kaye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Cube Building, Monahan Road</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Cork, T12 H1XY, Ireland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Investor:</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Streeterville Capital, LLC</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Attn: John Fife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297 Auto Mall Drive #4 St. George, Utah 84770</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(which copy shall not constitute notice):</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Hansen Black Anderson Ashcraft PLLC</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Attn: Jonathan Hansen (jhansen@hbaa.law)</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3051 West Maple Loop Drive, Suite 325</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Lehi, Utah 84083</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3" w:name="page124"/>
    <w:bookmarkEnd w:id="12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or any of the severable rights and obligations inuring to the benefit of or to be performed by Investor hereunder may be assigned by Investor to a third party, including its affiliates, in whole or in part, without the need to obtain Company’s consent thereto. Company may not assign its rights or obligations under this Agreement or delegate its duties hereunder, whether directly or indirectly, without the prior written consent of Investor, and any such attempted assignment or delegation shall be null and void.</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of Company shall survive the Closing and remain in effect for one (1) year beyond such date as the Outstanding Balance (as defined in the Note) under the Note is paid in full, notwithstanding any due diligence investigation conducted by or on behalf of Investor. The agreements and covenants set forth in this Agreement shall survive the Closing hereunder and remain in effect until such date as the Outstanding Balance (as defined in the Note) is paid in full, except as otherwise expressly set forth in the Transaction Documents. Company agrees to indemnify and hold harmless Investor and all its officers, directors, members, managers, employees, attorneys, and agents for loss or damage arising as a result of or related to any breach or alleged breach by Company of any of its representations, warranties and covenants set forth in this Agreement or any of its covenants and obligations under this Agreement, including advancement of expenses as they are incurred.</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u w:val="single" w:color="auto"/>
          <w:color w:val="auto"/>
        </w:rPr>
        <w:t>Investor’s Rights and Remedies Cumulative</w:t>
      </w:r>
      <w:r>
        <w:rPr>
          <w:rFonts w:ascii="Times New Roman" w:cs="Times New Roman" w:eastAsia="Times New Roman" w:hAnsi="Times New Roman"/>
          <w:sz w:val="18"/>
          <w:szCs w:val="18"/>
          <w:color w:val="auto"/>
        </w:rPr>
        <w:t>. All rights, remedies, and powers conferred in this Agreement and the Transaction Documents are cumulative and not exclusive of any other rights or remedies, and shall be in addition to every other right, power, and remedy that Investor may have, whether specifically granted in this Agreement or any other Transaction Document, or existing at law, in equity, or by statute, and any and all such rights and remedies may be exercised from time to time and as often and in such order as Investor may deem expedient.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u w:val="single" w:color="auto"/>
          <w:color w:val="auto"/>
        </w:rPr>
        <w:t>Attorneys’ Fees and Cost of Collection</w:t>
      </w:r>
      <w:r>
        <w:rPr>
          <w:rFonts w:ascii="Times New Roman" w:cs="Times New Roman" w:eastAsia="Times New Roman" w:hAnsi="Times New Roman"/>
          <w:sz w:val="18"/>
          <w:szCs w:val="18"/>
          <w:color w:val="auto"/>
        </w:rPr>
        <w:t>. In the event any suit, action or arbitration is filed by either party against the other to interpret or enforce any of the Transaction Documents, the unsuccessful party to such action agrees to pay to the prevailing party all costs and expenses, including reasonable attorneys’ fees incurred therein, including the same with respect to an appeal. The “prevailing party” shall be the party in whose favor a judgment is entered, regardless of whether judgment is entered on all claims asserted by such party and regardless of the amount of the judgment; or where, due to the assertion of counterclaims, judgments are entered in favor of and against both parties, then the arbitrator shall determine the “prevailing party” by taking into account the relative dollar amounts of the judgments or, if the judgments involve nonmonetary relief, the relative importance and value of such relief. Nothing herein shall restrict or impair an arbitrator’s or a court’s power to award fees and expenses for frivolous or bad faith pleading. If (i) the Note is placed in the hands of an attorney for collection or enforcement prior to commencing arbitration or legal proceedings, or is collected or enforced through any arbitration or legal proceeding, or Investor otherwise takes action to collect amounts due under the Note or to enforce the provisions of the Note, or (ii) there occurs any bankruptcy, reorganization, receivership of Company or other proceedings affecting Company’s creditors’ rights and involving a claim under the Note; then Company shall pay the costs incurred by Investor for such collection, enforcement or action or in connection with such bankruptcy, reorganization, receivership or other proceeding, including, without limitation, reasonable attorneys’ fees, expenses, deposition costs, and disbursements.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11.16.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of this Agreement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4" w:name="page125"/>
    <w:bookmarkEnd w:id="124"/>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11.17.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TO THIS AGREEMENT IRREVOCABLY WAIVES ANY AND ALL RIGHTS SUCH PARTY MAY HAVE TO DEMAND THAT ANY ACTION, PROCEEDING OR COUNTERCLAIM ARISING OUT OF OR IN ANY WAY RELATED TO THIS AGREEMENT, ANY OTHER TRANSACTION DOCUMENT, OR THE RELATIONSHIPS OF THE PARTIES HERETO BE TRIED BY JURY. THIS WAIVER EXTENDS TO ANY AND ALL RIGHTS TO DEMAND A TRIAL BY JURY ARISING UNDER COMMON LAW OR ANY APPLICABLE STATUTE, LAW, RULE OR REGULATION. FURTHER, EACH PARTY HERETO ACKNOWLEDGES THAT SUCH PARTY IS KNOWINGLY AND VOLUNTARILY WAIVING SUCH PARTY’S RIGHT TO DEMAND TRIAL BY JURY.</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11.18. </w:t>
      </w:r>
      <w:r>
        <w:rPr>
          <w:rFonts w:ascii="Times New Roman" w:cs="Times New Roman" w:eastAsia="Times New Roman" w:hAnsi="Times New Roman"/>
          <w:sz w:val="18"/>
          <w:szCs w:val="18"/>
          <w:u w:val="single" w:color="auto"/>
          <w:color w:val="auto"/>
        </w:rPr>
        <w:t>Time is of the Essence</w:t>
      </w:r>
      <w:r>
        <w:rPr>
          <w:rFonts w:ascii="Times New Roman" w:cs="Times New Roman" w:eastAsia="Times New Roman" w:hAnsi="Times New Roman"/>
          <w:sz w:val="18"/>
          <w:szCs w:val="18"/>
          <w:color w:val="auto"/>
        </w:rPr>
        <w:t>. Time is expressly made of the essence with respect to each and every provision of this Agreement and the other Transaction Documents.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11.19. </w:t>
      </w:r>
      <w:r>
        <w:rPr>
          <w:rFonts w:ascii="Times New Roman" w:cs="Times New Roman" w:eastAsia="Times New Roman" w:hAnsi="Times New Roman"/>
          <w:sz w:val="18"/>
          <w:szCs w:val="18"/>
          <w:u w:val="single" w:color="auto"/>
          <w:color w:val="auto"/>
        </w:rPr>
        <w:t>Voluntary Agreement</w:t>
      </w:r>
      <w:r>
        <w:rPr>
          <w:rFonts w:ascii="Times New Roman" w:cs="Times New Roman" w:eastAsia="Times New Roman" w:hAnsi="Times New Roman"/>
          <w:sz w:val="18"/>
          <w:szCs w:val="18"/>
          <w:color w:val="auto"/>
        </w:rPr>
        <w:t>. Company has carefully read this Agreement and each of the other Transaction Documents and has asked any questions needed for Company to understand the terms, consequences and binding effect of this Agreement and each of the other Transaction Documents and fully understand them. Company has had the opportunity to seek the advice of an attorney of Company’s choosing, or has waived the right to do so, and is executing this Agreement and each of the other Transaction Documents voluntarily and without any duress or undue influence by Investor or anyone else.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11.20.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This Agreement and each of the other Transaction Documents is intended for the benefit of the parties hereto and their respective permitted successors and assigns. There are no third-party beneficiaries of this Agreement or any other Transaction Document. Nothing in this Agreement or any other Transaction Document, express or implied, is intended to confer upon any other person any rights, remedies, obligations or liabilities of any nature whatsoever.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 follows</w:t>
      </w: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7"/>
          <w:szCs w:val="17"/>
          <w:color w:val="auto"/>
        </w:rPr>
        <w:t>IN WITNESS WHEREOF, the undersigned Investor and Company have caused this Agreement to be duly executed as of the date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INVESTOR:</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LLC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John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John Fife,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avion</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ealthcare</w:t>
      </w:r>
      <w:r>
        <w:rPr>
          <w:rFonts w:ascii="Times New Roman" w:cs="Times New Roman" w:eastAsia="Times New Roman" w:hAnsi="Times New Roman"/>
          <w:sz w:val="18"/>
          <w:szCs w:val="18"/>
          <w:b w:val="1"/>
          <w:bCs w:val="1"/>
          <w:color w:val="auto"/>
        </w:rPr>
        <w:t xml:space="preserve"> PLC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Jack Kaye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Jack Kaye,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to Securities Purchase Agreement]</w:t>
      </w:r>
    </w:p>
    <w:p>
      <w:pPr>
        <w:spacing w:after="0" w:line="200" w:lineRule="exact"/>
        <w:rPr>
          <w:sz w:val="20"/>
          <w:szCs w:val="20"/>
          <w:color w:val="auto"/>
        </w:rPr>
      </w:pPr>
    </w:p>
    <w:p>
      <w:pPr>
        <w:spacing w:after="0" w:line="35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20"/>
          </w:cols>
          <w:pgMar w:left="320" w:top="796" w:right="7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color w:val="auto"/>
        </w:rPr>
        <w:t>ATTACHED EXHIBITS:</w:t>
      </w:r>
    </w:p>
    <w:p>
      <w:pPr>
        <w:sectPr>
          <w:pgSz w:w="11900" w:h="16838" w:orient="portrait"/>
          <w:cols w:equalWidth="0" w:num="1">
            <w:col w:w="10139"/>
          </w:cols>
          <w:pgMar w:left="320" w:top="796" w:right="1440" w:bottom="1440" w:gutter="0" w:footer="0" w:header="0"/>
        </w:sectPr>
      </w:pP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Exhibit A Exhibit B Exhibit C Exhibit D Exhibit E Exhibit F</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IP Security Agreement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Arbitration Provisions</w:t>
      </w:r>
    </w:p>
    <w:p>
      <w:pPr>
        <w:spacing w:after="0" w:line="219" w:lineRule="exact"/>
        <w:rPr>
          <w:sz w:val="20"/>
          <w:szCs w:val="20"/>
          <w:color w:val="auto"/>
        </w:rPr>
      </w:pPr>
    </w:p>
    <w:p>
      <w:pPr>
        <w:sectPr>
          <w:pgSz w:w="11900" w:h="16838" w:orient="portrait"/>
          <w:cols w:equalWidth="0" w:num="2">
            <w:col w:w="720" w:space="420"/>
            <w:col w:w="8999"/>
          </w:cols>
          <w:pgMar w:left="320" w:top="79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type w:val="continuous"/>
        </w:sectPr>
      </w:pPr>
    </w:p>
    <w:bookmarkStart w:id="127" w:name="page128"/>
    <w:bookmarkEnd w:id="127"/>
    <w:p>
      <w:pPr>
        <w:jc w:val="center"/>
        <w:ind w:right="320"/>
        <w:spacing w:after="0"/>
        <w:rPr>
          <w:sz w:val="20"/>
          <w:szCs w:val="20"/>
          <w:color w:val="auto"/>
        </w:rPr>
      </w:pPr>
      <w:r>
        <w:rPr>
          <w:rFonts w:ascii="Times New Roman" w:cs="Times New Roman" w:eastAsia="Times New Roman" w:hAnsi="Times New Roman"/>
          <w:sz w:val="18"/>
          <w:szCs w:val="18"/>
          <w:b w:val="1"/>
          <w:bCs w:val="1"/>
          <w:u w:val="single" w:color="auto"/>
          <w:color w:val="auto"/>
        </w:rPr>
        <w:t>EXHIBIT F</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ARBITRATION PROVISIONS</w:t>
      </w:r>
    </w:p>
    <w:p>
      <w:pPr>
        <w:spacing w:after="0" w:line="225" w:lineRule="exact"/>
        <w:rPr>
          <w:sz w:val="20"/>
          <w:szCs w:val="20"/>
          <w:color w:val="auto"/>
        </w:rPr>
      </w:pPr>
    </w:p>
    <w:p>
      <w:pPr>
        <w:jc w:val="both"/>
        <w:ind w:firstLine="8"/>
        <w:spacing w:after="0" w:line="252" w:lineRule="auto"/>
        <w:tabs>
          <w:tab w:leader="none" w:pos="6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For purposes of these arbitration provisions (the “</w:t>
      </w:r>
      <w:r>
        <w:rPr>
          <w:rFonts w:ascii="Times New Roman" w:cs="Times New Roman" w:eastAsia="Times New Roman" w:hAnsi="Times New Roman"/>
          <w:sz w:val="18"/>
          <w:szCs w:val="18"/>
          <w:b w:val="1"/>
          <w:bCs w:val="1"/>
          <w:color w:val="auto"/>
        </w:rPr>
        <w:t>Arbitration Provisions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means any disputes, claims, demands, causes of action, requests for injunctive relief, requests for specific performance, liabilities, damages, losses, or controversies whatsoever arising from, related to, or connected with the transactions contemplated in the Transaction Documents and any communications between the parties related thereto, including without limitation any claims of mutual mistake, mistake, fraud, misrepresentation, failure of formation, failure of consideration, promissory estoppel, unconscionability, failure of condition precedent, rescission, and any statutory claims, tort claims, contract claims, or claims to void, invalidate or terminate the Agreement (or these Arbitration Provisions (defined below)) or any of the other Transaction Documents. For the avoidance of doubt, Investor’s pursuit of an injunction or other Claim pursuant to these Arbitration Provisions or with a court will not later prevent Investor under the doctrines of claim preclusion, issue preclusion, res judicata or other similar legal doctrines from pursuing other Claims in a separate arbitration in the future. The parties to the Agreement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hereby agree that the Claims may be arbitrated in one or more arbitrations pursuant to these Arbitration Provisions (one for an injunction or injunctions and a separate one for all other Claims). The term “Claims” specifically excludes a dispute over Calculations, and enforcement of Investor’s rights and remedies against the personal property described in the Security Agreement under the applicable provisions of the Uniform Commercial Code and other relevant laws. The parties to the Agreement hereby agree that these Arbitration Provisions are binding on each of them. As a result, any attempt to rescind the Agreement (or these Arbitration Provisions) or any other Transaction Document) or declare the Agreement (or these Arbitration Provisions) or any other Transaction Document invalid or unenforceable pursuant to Section 29 of the 1934 Act or for any other reason is subject to these Arbitration Provisions. Any capitalized term not defined in these Arbitration Provisions shall have the meaning set forth in the Agreement.</w:t>
      </w:r>
    </w:p>
    <w:p>
      <w:pPr>
        <w:spacing w:after="0" w:line="194" w:lineRule="exact"/>
        <w:rPr>
          <w:rFonts w:ascii="Times New Roman" w:cs="Times New Roman" w:eastAsia="Times New Roman" w:hAnsi="Times New Roman"/>
          <w:sz w:val="18"/>
          <w:szCs w:val="18"/>
          <w:color w:val="auto"/>
        </w:rPr>
      </w:pPr>
    </w:p>
    <w:p>
      <w:pPr>
        <w:jc w:val="both"/>
        <w:ind w:firstLine="8"/>
        <w:spacing w:after="0" w:line="259" w:lineRule="auto"/>
        <w:tabs>
          <w:tab w:leader="none" w:pos="6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Except as otherwise provided herein, all Claims must be submitted to arbitration (“</w:t>
      </w: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 to be conducted exclusively in Salt Lake County, Utah and pursuant to the terms set forth in these Arbitration Provisions. Subject to the arbitration appeal right provided for in Paragraph 5 below (the “</w:t>
      </w:r>
      <w:r>
        <w:rPr>
          <w:rFonts w:ascii="Times New Roman" w:cs="Times New Roman" w:eastAsia="Times New Roman" w:hAnsi="Times New Roman"/>
          <w:sz w:val="18"/>
          <w:szCs w:val="18"/>
          <w:b w:val="1"/>
          <w:bCs w:val="1"/>
          <w:color w:val="auto"/>
        </w:rPr>
        <w:t>Appeal Right</w:t>
      </w:r>
      <w:r>
        <w:rPr>
          <w:rFonts w:ascii="Times New Roman" w:cs="Times New Roman" w:eastAsia="Times New Roman" w:hAnsi="Times New Roman"/>
          <w:sz w:val="18"/>
          <w:szCs w:val="18"/>
          <w:color w:val="auto"/>
        </w:rPr>
        <w:t>”), the parties agree that the award of the arbitrator rendered pursuant to Paragraph 4 below (the “</w:t>
      </w:r>
      <w:r>
        <w:rPr>
          <w:rFonts w:ascii="Times New Roman" w:cs="Times New Roman" w:eastAsia="Times New Roman" w:hAnsi="Times New Roman"/>
          <w:sz w:val="18"/>
          <w:szCs w:val="18"/>
          <w:b w:val="1"/>
          <w:bCs w:val="1"/>
          <w:color w:val="auto"/>
        </w:rPr>
        <w:t>Arbitration Award</w:t>
      </w:r>
      <w:r>
        <w:rPr>
          <w:rFonts w:ascii="Times New Roman" w:cs="Times New Roman" w:eastAsia="Times New Roman" w:hAnsi="Times New Roman"/>
          <w:sz w:val="18"/>
          <w:szCs w:val="18"/>
          <w:color w:val="auto"/>
        </w:rPr>
        <w:t>”) shall be</w:t>
      </w: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and binding upon the parties, (b) the sole and exclusive remedy between them regarding any Claims, counterclaims, issues, or accountings presented or pleaded to the arbitrator, and (c) promptly payable in United States dollars free of any tax, deduction or offset (with respect to monetary awards). Subject to the Appeal Right, any costs or fees, including without limitation reasonable attorneys’ fees, incurred in connection with or incident to enforcing the Arbitration Award shall, to the maximum extent permitted by law, be charged against the party resisting such enforcement. The Arbitration Award shall include default interest (as defined or otherwise provided for in the Note,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(with respect to monetary awards) at the rate specified in the Note for Default Interest both before and after the Arbitration Award. Judgment upon the Arbitration Award will be entered and enforced by any state or federal court sitting in Salt Lake County, Utah.</w:t>
      </w:r>
    </w:p>
    <w:p>
      <w:pPr>
        <w:spacing w:after="0" w:line="188" w:lineRule="exact"/>
        <w:rPr>
          <w:rFonts w:ascii="Times New Roman" w:cs="Times New Roman" w:eastAsia="Times New Roman" w:hAnsi="Times New Roman"/>
          <w:sz w:val="18"/>
          <w:szCs w:val="18"/>
          <w:color w:val="auto"/>
        </w:rPr>
      </w:pPr>
    </w:p>
    <w:p>
      <w:pPr>
        <w:jc w:val="both"/>
        <w:ind w:firstLine="8"/>
        <w:spacing w:after="0" w:line="258" w:lineRule="auto"/>
        <w:tabs>
          <w:tab w:leader="none" w:pos="6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Arbitration Act</w:t>
      </w:r>
      <w:r>
        <w:rPr>
          <w:rFonts w:ascii="Times New Roman" w:cs="Times New Roman" w:eastAsia="Times New Roman" w:hAnsi="Times New Roman"/>
          <w:sz w:val="18"/>
          <w:szCs w:val="18"/>
          <w:color w:val="auto"/>
        </w:rPr>
        <w:t xml:space="preserve">. The parties hereby incorporate herein the provisions and procedures set forth in the Utah Uniform Arbitration Act, U.C.A. § 78B-11-101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(as amended or superseded from time to time, the “</w:t>
      </w:r>
      <w:r>
        <w:rPr>
          <w:rFonts w:ascii="Times New Roman" w:cs="Times New Roman" w:eastAsia="Times New Roman" w:hAnsi="Times New Roman"/>
          <w:sz w:val="18"/>
          <w:szCs w:val="18"/>
          <w:b w:val="1"/>
          <w:bCs w:val="1"/>
          <w:color w:val="auto"/>
        </w:rPr>
        <w:t>Arbitration Act</w:t>
      </w:r>
      <w:r>
        <w:rPr>
          <w:rFonts w:ascii="Times New Roman" w:cs="Times New Roman" w:eastAsia="Times New Roman" w:hAnsi="Times New Roman"/>
          <w:sz w:val="18"/>
          <w:szCs w:val="18"/>
          <w:color w:val="auto"/>
        </w:rPr>
        <w:t>”). Notwithstanding the foregoing, pursuant to, and to the maximum extent permitted by, Section 105 of the Arbitration Act, in the event of conflict or variation between the terms of these Arbitration Provisions and the provisions of the Arbitration Act, the terms of these Arbitration Provisions shall control and the parties hereby waive or otherwise agree to vary the effect of all requirements of the Arbitration Act that may conflict with or vary from these Arbitration Provisions.</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Proceedings</w:t>
      </w:r>
      <w:r>
        <w:rPr>
          <w:rFonts w:ascii="Times New Roman" w:cs="Times New Roman" w:eastAsia="Times New Roman" w:hAnsi="Times New Roman"/>
          <w:sz w:val="18"/>
          <w:szCs w:val="18"/>
          <w:color w:val="auto"/>
        </w:rPr>
        <w:t>. Arbitration between the parties will be subject to the following:</w:t>
      </w:r>
    </w:p>
    <w:p>
      <w:pPr>
        <w:spacing w:after="0" w:line="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i w:val="1"/>
          <w:iCs w:val="1"/>
          <w:color w:val="auto"/>
        </w:rPr>
        <w:t>Initiation of Arbitration</w:t>
      </w:r>
      <w:r>
        <w:rPr>
          <w:rFonts w:ascii="Times New Roman" w:cs="Times New Roman" w:eastAsia="Times New Roman" w:hAnsi="Times New Roman"/>
          <w:sz w:val="18"/>
          <w:szCs w:val="18"/>
          <w:color w:val="auto"/>
        </w:rPr>
        <w:t>. Pursuant to Section 110 of the Arbitration Act, the parties agree that a party may initiate Arbitration by giving written notice to the other party (“</w:t>
      </w:r>
      <w:r>
        <w:rPr>
          <w:rFonts w:ascii="Times New Roman" w:cs="Times New Roman" w:eastAsia="Times New Roman" w:hAnsi="Times New Roman"/>
          <w:sz w:val="18"/>
          <w:szCs w:val="18"/>
          <w:b w:val="1"/>
          <w:bCs w:val="1"/>
          <w:color w:val="auto"/>
        </w:rPr>
        <w:t>Arbitration Notice</w:t>
      </w:r>
      <w:r>
        <w:rPr>
          <w:rFonts w:ascii="Times New Roman" w:cs="Times New Roman" w:eastAsia="Times New Roman" w:hAnsi="Times New Roman"/>
          <w:sz w:val="18"/>
          <w:szCs w:val="18"/>
          <w:color w:val="auto"/>
        </w:rPr>
        <w:t>”) in the same manner that notice is permitted under Section 11.10 of the Agreement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Arbitration Notice may not be given by email or fax. Arbitration will be deemed initiated as of the date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Arbitration Notice is deemed delivered to such other party under the Notice Provision (the “ </w:t>
      </w:r>
      <w:r>
        <w:rPr>
          <w:rFonts w:ascii="Times New Roman" w:cs="Times New Roman" w:eastAsia="Times New Roman" w:hAnsi="Times New Roman"/>
          <w:sz w:val="18"/>
          <w:szCs w:val="18"/>
          <w:b w:val="1"/>
          <w:bCs w:val="1"/>
          <w:color w:val="auto"/>
        </w:rPr>
        <w:t>Service Date</w:t>
      </w:r>
      <w:r>
        <w:rPr>
          <w:rFonts w:ascii="Times New Roman" w:cs="Times New Roman" w:eastAsia="Times New Roman" w:hAnsi="Times New Roman"/>
          <w:sz w:val="18"/>
          <w:szCs w:val="18"/>
          <w:color w:val="auto"/>
        </w:rPr>
        <w:t>”). After the Service Date, information may be delivered, and notices may be given, by email or fax pursuant to the Notice Provision or any other method permitted thereunder. The Arbitration Notice must describe the nature of the controversy, the remedies sought, and the election to commence Arbitration proceedings. All Claims in the Arbitration Notice must be pleaded consistent with the Utah Rules of Civil Procedure.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8" w:name="page129"/>
    <w:bookmarkEnd w:id="128"/>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i w:val="1"/>
          <w:iCs w:val="1"/>
          <w:color w:val="auto"/>
        </w:rPr>
        <w:t>Selection and Payment of Arbitrator</w:t>
      </w:r>
      <w:r>
        <w:rPr>
          <w:rFonts w:ascii="Times New Roman" w:cs="Times New Roman" w:eastAsia="Times New Roman" w:hAnsi="Times New Roman"/>
          <w:sz w:val="17"/>
          <w:szCs w:val="17"/>
          <w:color w:val="auto"/>
        </w:rPr>
        <w:t>.</w:t>
      </w:r>
    </w:p>
    <w:p>
      <w:pPr>
        <w:spacing w:after="0" w:line="29" w:lineRule="exact"/>
        <w:rPr>
          <w:sz w:val="20"/>
          <w:szCs w:val="20"/>
          <w:color w:val="auto"/>
        </w:rPr>
      </w:pPr>
    </w:p>
    <w:p>
      <w:pPr>
        <w:jc w:val="both"/>
        <w:ind w:firstLine="656"/>
        <w:spacing w:after="0" w:line="250" w:lineRule="auto"/>
        <w:tabs>
          <w:tab w:leader="none" w:pos="95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calendar days after the Service Date, Investor shall select and submit to Company the names of three (3) arbitrators that are designated as “neutrals” or qualified arbitrators by Utah ADR Services (http://www.utahadrservices.com) (such three (3) designated persons hereunder are referred to herein as the “</w:t>
      </w:r>
      <w:r>
        <w:rPr>
          <w:rFonts w:ascii="Times New Roman" w:cs="Times New Roman" w:eastAsia="Times New Roman" w:hAnsi="Times New Roman"/>
          <w:sz w:val="18"/>
          <w:szCs w:val="18"/>
          <w:b w:val="1"/>
          <w:bCs w:val="1"/>
          <w:color w:val="auto"/>
        </w:rPr>
        <w:t>Proposed Arbitrators</w:t>
      </w:r>
      <w:r>
        <w:rPr>
          <w:rFonts w:ascii="Times New Roman" w:cs="Times New Roman" w:eastAsia="Times New Roman" w:hAnsi="Times New Roman"/>
          <w:sz w:val="18"/>
          <w:szCs w:val="18"/>
          <w:color w:val="auto"/>
        </w:rPr>
        <w:t>”). For the avoidance of doubt, each Proposed Arbitrator must be qualified as a “neutral” with Utah ADR Services. Within five (5) calendar days after Investor has submitted to Company the names of the Proposed Arbitrators, Company must select, by written notice to Investor, one (1) of the Proposed Arbitrators to act as the arbitrator for the parties under these Arbitration Provisions. If Company fails to select one of the Proposed Arbitrators in writing within such 5-day period, then Investor may select the arbitrator from the Proposed Arbitrators by providing written notice of such selection to Company.</w:t>
      </w:r>
    </w:p>
    <w:p>
      <w:pPr>
        <w:spacing w:after="0" w:line="2"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Investor fails to submit to Company the Proposed Arbitrators within ten (10) calendar days after the Service Date pursuant to subparagraph</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then Company may at any time prior to Investor so designating the Proposed Arbitrators, identify the names of three (3) arbitrators that are designated as “neutrals” or qualified arbitrators by Utah ADR Service by written notice to Investor. Investor may then, within five (5) calendar days after Company has submitted notice of its Proposed Arbitrators to Investor, select, by written notice to Company, one (1) of the Proposed Arbitrators to act as the arbitrator for the parties under these Arbitration Provisions. If Investor fails to select in writing and within such 5-day period one (1) of the three (3) Proposed Arbitrators selected by Company, then Company may select the arbitrator from its three (3) previously selected Proposed Arbitrators by providing written notice of such selection to Investor.</w:t>
      </w:r>
    </w:p>
    <w:p>
      <w:pPr>
        <w:spacing w:after="0" w:line="2" w:lineRule="exact"/>
        <w:rPr>
          <w:rFonts w:ascii="Times New Roman" w:cs="Times New Roman" w:eastAsia="Times New Roman" w:hAnsi="Times New Roman"/>
          <w:sz w:val="18"/>
          <w:szCs w:val="18"/>
          <w:color w:val="auto"/>
        </w:rPr>
      </w:pPr>
    </w:p>
    <w:p>
      <w:pPr>
        <w:jc w:val="both"/>
        <w:ind w:firstLine="656"/>
        <w:spacing w:after="0" w:line="250" w:lineRule="auto"/>
        <w:tabs>
          <w:tab w:leader="none" w:pos="96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Arbitrator chosen to serve as arbitrator declines or is otherwise unable to serve as arbitrator, then the party that selected such Proposed Arbitrator may select one (1) of the other three (3) Proposed Arbitrators within three (3) calendar days of the date the chosen Proposed Arbitrator declines or notifies the parties he or she is unable to serve as arbitrator. If all three (3) Proposed Arbitrators decline or are otherwise unable to serve as arbitrator, then the arbitrator selection process shall begin again in accordance with this Paragraph 4.2.</w:t>
      </w:r>
    </w:p>
    <w:p>
      <w:pPr>
        <w:spacing w:after="0" w:line="1" w:lineRule="exact"/>
        <w:rPr>
          <w:rFonts w:ascii="Times New Roman" w:cs="Times New Roman" w:eastAsia="Times New Roman" w:hAnsi="Times New Roman"/>
          <w:sz w:val="18"/>
          <w:szCs w:val="18"/>
          <w:color w:val="auto"/>
        </w:rPr>
      </w:pPr>
    </w:p>
    <w:p>
      <w:pPr>
        <w:jc w:val="both"/>
        <w:ind w:firstLine="656"/>
        <w:spacing w:after="0" w:line="250" w:lineRule="auto"/>
        <w:tabs>
          <w:tab w:leader="none" w:pos="100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the Proposed Arbitrator selected pursuant to this Paragraph 4.2 agrees in writing (including via email) delivered to both parties to serve as the arbitrator hereunder is referred to herein as the “</w:t>
      </w:r>
      <w:r>
        <w:rPr>
          <w:rFonts w:ascii="Times New Roman" w:cs="Times New Roman" w:eastAsia="Times New Roman" w:hAnsi="Times New Roman"/>
          <w:sz w:val="18"/>
          <w:szCs w:val="18"/>
          <w:b w:val="1"/>
          <w:bCs w:val="1"/>
          <w:color w:val="auto"/>
        </w:rPr>
        <w:t>Arbitration Commencement Date</w:t>
      </w:r>
      <w:r>
        <w:rPr>
          <w:rFonts w:ascii="Times New Roman" w:cs="Times New Roman" w:eastAsia="Times New Roman" w:hAnsi="Times New Roman"/>
          <w:sz w:val="18"/>
          <w:szCs w:val="18"/>
          <w:color w:val="auto"/>
        </w:rPr>
        <w:t>”. If an arbitrator resigns or is unable to act during the Arbitration, a replacement arbitrator shall be chosen in accordance with this Paragraph 4.2 to continue the Arbitration. If Utah ADR Services ceases to exist or to provide a list of neutrals and there is no successor thereto, then the arbitrator shall be selected under the prevailing rules of the American Arbitration Association.</w:t>
      </w:r>
    </w:p>
    <w:p>
      <w:pPr>
        <w:spacing w:after="0" w:line="1" w:lineRule="exact"/>
        <w:rPr>
          <w:rFonts w:ascii="Times New Roman" w:cs="Times New Roman" w:eastAsia="Times New Roman" w:hAnsi="Times New Roman"/>
          <w:sz w:val="18"/>
          <w:szCs w:val="18"/>
          <w:color w:val="auto"/>
        </w:rPr>
      </w:pPr>
    </w:p>
    <w:p>
      <w:pPr>
        <w:jc w:val="both"/>
        <w:ind w:firstLine="656"/>
        <w:spacing w:after="0" w:line="255" w:lineRule="auto"/>
        <w:tabs>
          <w:tab w:leader="none" w:pos="98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4.10 below, the cost of the arbitrator must be paid equally by both parties. Subject to Paragraph 4.10 below, if one party refuses or fails to pay its portion of the arbitrator fee, then the other party can advance such unpaid amount (subject to the accrual of Default Interest thereupon), with such amount being added to or subtracted from, as applicable, the Arbitration Award.</w:t>
      </w:r>
    </w:p>
    <w:p>
      <w:pPr>
        <w:spacing w:after="0" w:line="18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i w:val="1"/>
          <w:iCs w:val="1"/>
          <w:color w:val="auto"/>
        </w:rPr>
        <w:t>Applicability of Certain Utah Rules</w:t>
      </w:r>
      <w:r>
        <w:rPr>
          <w:rFonts w:ascii="Times New Roman" w:cs="Times New Roman" w:eastAsia="Times New Roman" w:hAnsi="Times New Roman"/>
          <w:sz w:val="18"/>
          <w:szCs w:val="18"/>
          <w:color w:val="auto"/>
        </w:rPr>
        <w:t>. The parties agree that the Arbitration shall be conducted generally in accordance with the Utah Rules of Civil Procedure and the Utah Rules of Evidence. More specifically, the Utah Rules of Civil Procedure shall apply, without limitation, to the filing of any pleadings, motions or memoranda, the conducting of discovery, and the taking of any depositions. The Utah Rules of Evidence shall apply to any hearings, whether telephonic or in person, held by the arbitrator. Notwithstanding the foregoing, it is the parties’ intent that the incorporation of such rules will in no event supersede these Arbitration Provisions. In the event of any conflict between the Utah Rules of Civil Procedure or the Utah Rules of Evidence and these Arbitration Provisions, these Arbitration Provisions shall control.</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i w:val="1"/>
          <w:iCs w:val="1"/>
          <w:color w:val="auto"/>
        </w:rPr>
        <w:t>Answer and Default</w:t>
      </w:r>
      <w:r>
        <w:rPr>
          <w:rFonts w:ascii="Times New Roman" w:cs="Times New Roman" w:eastAsia="Times New Roman" w:hAnsi="Times New Roman"/>
          <w:sz w:val="18"/>
          <w:szCs w:val="18"/>
          <w:color w:val="auto"/>
        </w:rPr>
        <w:t>. An answer and any counterclaims to the Arbitration Notice shall be required to be delivered to the party initiating the Arbitration within twenty (20) calendar days after the Arbitration Commencement Date. If an answer is not delivered by the required deadline, the arbitrator must provide written notice to the defaulting party stating that the arbitrator will enter a default award against such party if such party does not file an answer within five (5) calendar days of receipt of such notice. If an answer is not filed within the five (5) day extension period, the arbitrator must render a default award, consistent with the relief requested in the Arbitration Notice, against a party that fails to submit an answer within such time period.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29" w:name="page130"/>
    <w:bookmarkEnd w:id="129"/>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i w:val="1"/>
          <w:iCs w:val="1"/>
          <w:color w:val="auto"/>
        </w:rPr>
        <w:t>Related Litigation</w:t>
      </w:r>
      <w:r>
        <w:rPr>
          <w:rFonts w:ascii="Times New Roman" w:cs="Times New Roman" w:eastAsia="Times New Roman" w:hAnsi="Times New Roman"/>
          <w:sz w:val="18"/>
          <w:szCs w:val="18"/>
          <w:color w:val="auto"/>
        </w:rPr>
        <w:t>. The party that delivers the Arbitration Notice to the other party shall have the option to also commence concurrent legal proceedings with any state or federal court sitting in Salt Lake County, Utah (“</w:t>
      </w:r>
      <w:r>
        <w:rPr>
          <w:rFonts w:ascii="Times New Roman" w:cs="Times New Roman" w:eastAsia="Times New Roman" w:hAnsi="Times New Roman"/>
          <w:sz w:val="18"/>
          <w:szCs w:val="18"/>
          <w:b w:val="1"/>
          <w:bCs w:val="1"/>
          <w:color w:val="auto"/>
        </w:rPr>
        <w:t>Litigation Proceedings</w:t>
      </w:r>
      <w:r>
        <w:rPr>
          <w:rFonts w:ascii="Times New Roman" w:cs="Times New Roman" w:eastAsia="Times New Roman" w:hAnsi="Times New Roman"/>
          <w:sz w:val="18"/>
          <w:szCs w:val="18"/>
          <w:color w:val="auto"/>
        </w:rPr>
        <w:t>”), subject to the following: (a) the complaint in the Litigation Proceedings is to be substantially similar to the claims set forth in the Arbitration Notice, provided that an additional cause of action to compel arbitration will also be included therein, (b) so long as the other party files an answer to the complaint in the Litigation Proceedings and an answer to the Arbitration Notice, the Litigation Proceedings will be stayed pending an Arbitration Award (or Appeal Panel Award (defined below), as applicable) hereunder, (c) if the other party fails to file an answer in the Litigation Proceedings or an answer in the Arbitration proceedings, then the party initiating Arbitration shall be entitled to a default judgment consistent with the relief requested, to be entered in the Litigation Proceedings, and (d) any legal or procedural issue arising under the Arbitration Act that requires a decision of a court of competent jurisdiction may be determined in the Litigation Proceedings. Any award of the arbitrator (or of the Appeal Panel (defined below)) may be entered in such Litigation Proceedings pursuant to the Arbitration Act. In the event either party successfully petitions a court to compel arbitration, the losing party in such action shall be required to pay the prevailing party’s reasonable attorneys’ fees and costs incurred in connection with such action.</w:t>
      </w:r>
    </w:p>
    <w:p>
      <w:pPr>
        <w:spacing w:after="0" w:line="192"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i w:val="1"/>
          <w:iCs w:val="1"/>
          <w:color w:val="auto"/>
        </w:rPr>
        <w:t>Discovery</w:t>
      </w:r>
      <w:r>
        <w:rPr>
          <w:rFonts w:ascii="Times New Roman" w:cs="Times New Roman" w:eastAsia="Times New Roman" w:hAnsi="Times New Roman"/>
          <w:sz w:val="17"/>
          <w:szCs w:val="17"/>
          <w:color w:val="auto"/>
        </w:rPr>
        <w:t>. Pursuant to Section 118(8) of the Arbitration Act, the parties agree that discovery shall be conducted as follows:</w:t>
      </w:r>
    </w:p>
    <w:p>
      <w:pPr>
        <w:spacing w:after="0" w:line="29" w:lineRule="exact"/>
        <w:rPr>
          <w:sz w:val="20"/>
          <w:szCs w:val="20"/>
          <w:color w:val="auto"/>
        </w:rPr>
      </w:pPr>
    </w:p>
    <w:p>
      <w:pPr>
        <w:jc w:val="both"/>
        <w:ind w:firstLine="656"/>
        <w:spacing w:after="0" w:line="250" w:lineRule="auto"/>
        <w:tabs>
          <w:tab w:leader="none" w:pos="8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discovery will only be allowed if the likely benefits of the proposed written discovery outweigh the burden or expense thereof, and the written discovery sought is likely to reveal information that will satisfy a specific element of a claim or defense already pleaded in the Arbitration. The party seeking written discovery shall always have the burden of showing that all of the standards and limitations set forth in these Arbitration Provisions are satisfied. The scope of discovery in the Arbitration proceedings shall also be limited as follows:</w:t>
      </w:r>
    </w:p>
    <w:p>
      <w:pPr>
        <w:spacing w:after="0" w:line="1"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facts directly connected with the transactions contemplated by the Agreement.</w:t>
      </w:r>
    </w:p>
    <w:p>
      <w:pPr>
        <w:spacing w:after="0" w:line="9" w:lineRule="exact"/>
        <w:rPr>
          <w:rFonts w:ascii="Times New Roman" w:cs="Times New Roman" w:eastAsia="Times New Roman" w:hAnsi="Times New Roman"/>
          <w:sz w:val="18"/>
          <w:szCs w:val="18"/>
          <w:color w:val="auto"/>
        </w:rPr>
      </w:pPr>
    </w:p>
    <w:p>
      <w:pPr>
        <w:ind w:right="20" w:firstLine="980"/>
        <w:spacing w:after="0" w:line="260" w:lineRule="auto"/>
        <w:tabs>
          <w:tab w:leader="none" w:pos="16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facts and information that cannot be obtained from another source or in another manner that is more convenient, less burdensome or less expensive than in the manner requested.</w:t>
      </w:r>
    </w:p>
    <w:p>
      <w:pPr>
        <w:spacing w:after="0" w:line="181" w:lineRule="exact"/>
        <w:rPr>
          <w:rFonts w:ascii="Times New Roman" w:cs="Times New Roman" w:eastAsia="Times New Roman" w:hAnsi="Times New Roman"/>
          <w:sz w:val="18"/>
          <w:szCs w:val="18"/>
          <w:color w:val="auto"/>
        </w:rPr>
      </w:pPr>
    </w:p>
    <w:p>
      <w:pPr>
        <w:jc w:val="both"/>
        <w:ind w:firstLine="656"/>
        <w:spacing w:after="0" w:line="252" w:lineRule="auto"/>
        <w:tabs>
          <w:tab w:leader="none" w:pos="93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allowed (i) more than fifteen (15) interrogatories (including discrete subparts), (ii) more than fifteen (15) requests for admission (including discrete subparts), (iii) more than ten (10) document requests (including discrete subparts), or (iv) more than three (3) depositions (excluding expert depositions) for a maximum of seven (7) hours per deposition. The costs associated with depositions will be borne by the party taking the deposition. The party defending the deposition will submit a notice to the party taking the deposition of the estimated attorneys’ fees that such party expects to incur in connection with defending the deposition. If the party defending the deposition fails to submit an estimate of attorneys’ fees within five (5) calendar days of its receipt of a deposition notice, then such party shall be deemed to have waived its right to the estimated attorneys’ fees. The party taking the deposition must pay the party defending the deposition the estimated attorneys’ fees prior to taking the deposition, unless such obligation is deemed to be waived as set forth in the immediately preceding sentence. If the party taking the deposition believes that the estimated attorneys’ fees are unreasonable, such party may submit the issue to the arbitrator for a decision. All depositions will be taken in Utah.</w:t>
      </w:r>
    </w:p>
    <w:p>
      <w:pPr>
        <w:spacing w:after="0" w:line="6" w:lineRule="exact"/>
        <w:rPr>
          <w:rFonts w:ascii="Times New Roman" w:cs="Times New Roman" w:eastAsia="Times New Roman" w:hAnsi="Times New Roman"/>
          <w:sz w:val="18"/>
          <w:szCs w:val="18"/>
          <w:color w:val="auto"/>
        </w:rPr>
      </w:pPr>
    </w:p>
    <w:p>
      <w:pPr>
        <w:jc w:val="both"/>
        <w:ind w:firstLine="656"/>
        <w:spacing w:after="0" w:line="251" w:lineRule="auto"/>
        <w:tabs>
          <w:tab w:leader="none" w:pos="95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discovery requests (including document production requests included in deposition notices) must be submitted in writing to the arbitrator and the other party. The party submitting the written discovery requests must include with such discovery requests a detailed explanation of how the proposed discovery requests satisfy the requirements of these Arbitration Provisions and the Utah Rules of Civil Procedure. The receiving party will then be allowed, within five (5) calendar days of receiving the proposed discovery requests, to submit to the arbitrator an estimate of the attorneys’ fees and costs associated with responding to such written discovery requests and a written challenge to each applicable discovery request. After receipt of an estimate of attorneys’ fees and costs and/or challenge(s) to one or more discovery requests, consistent with subparagraph (c) above, the arbitrator will within three (3) calendar days make a finding as to the likely attorneys’ fees and costs associated with responding to the discovery requests and issue an order that (i) requires the requesting party to prepay the attorneys’ fees and costs associated with responding to the discovery requests, and (ii) requires the responding party to respond to the discovery requests as limited by the arbitrator within twenty-five (25) calendar days of the arbitrator’s finding with respect to such discovery requests. If a party entitled to submit an estimate of attorneys’ fees and costs and/or a challenge to discovery requests fails to do so within such 5-day period, the arbitrator will make a finding that (A) there are no attorneys’ fees or costs associated with responding to such discovery requests, and (B) the responding party must respond to such discovery requests (as may be limited by the arbitrator) within twenty-five (25) calendar days of the arbitrator’s finding with respect to such discovery requests. Any party submitting any written discovery requests, including without limitation interrogatories, requests for production subpoenas to a party or a third party, or requests for admissions, must prepay the estimated attorneys’ fees and costs, before the responding party has any obligation to produce or respond to the same, unless such obligation is deemed waived as set forth above.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30" w:name="page131"/>
    <w:bookmarkEnd w:id="130"/>
    <w:p>
      <w:pPr>
        <w:jc w:val="both"/>
        <w:ind w:firstLine="656"/>
        <w:spacing w:after="0" w:line="255" w:lineRule="auto"/>
        <w:tabs>
          <w:tab w:leader="none" w:pos="98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allow a written discovery request, the arbitrator must find that the discovery request satisfies the standards set forth in these Arbitration Provisions and the Utah Rules of Civil Procedure. The arbitrator must strictly enforce these standards. If a discovery request does not satisfy any of the standards set forth in these Arbitration Provisions or the Utah Rules of Civil Procedure, the arbitrator may modify such discovery request to satisfy the applicable standards or strike such discovery request in whole or in part.</w:t>
      </w:r>
    </w:p>
    <w:p>
      <w:pPr>
        <w:spacing w:after="0" w:line="2" w:lineRule="exact"/>
        <w:rPr>
          <w:rFonts w:ascii="Times New Roman" w:cs="Times New Roman" w:eastAsia="Times New Roman" w:hAnsi="Times New Roman"/>
          <w:sz w:val="18"/>
          <w:szCs w:val="18"/>
          <w:color w:val="auto"/>
        </w:rPr>
      </w:pPr>
    </w:p>
    <w:p>
      <w:pPr>
        <w:jc w:val="both"/>
        <w:ind w:firstLine="656"/>
        <w:spacing w:after="0" w:line="252" w:lineRule="auto"/>
        <w:tabs>
          <w:tab w:leader="none" w:pos="10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submit expert reports (and rebuttals thereto), provided that such reports must be submitted within sixty (60) days of the Arbitration Commencement Date. Each party will be allowed a maximum of two (2) experts. Expert reports must contain the following: (i) a complete statement of all opinions the expert will offer at trial and the basis and reasons for them; (ii) the expert’s name and qualifications, including a list of all the expert’s publications within the preceding ten (10) years, and a list of any other cases in which the expert has testified at trial or in a deposition or prepared a report within the preceding ten (10) years; and (iii) the compensation to be paid for the expert’s report and testimony. The parties are entitled to depose any other party’s expert witness one (1) time for no more than four (4) hours. An expert may not testify in a party’s case-in-chief concerning any matter not fairly disclosed in the expert report.</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i w:val="1"/>
          <w:iCs w:val="1"/>
          <w:color w:val="auto"/>
        </w:rPr>
        <w:t>Dispositive Motions</w:t>
      </w:r>
      <w:r>
        <w:rPr>
          <w:rFonts w:ascii="Times New Roman" w:cs="Times New Roman" w:eastAsia="Times New Roman" w:hAnsi="Times New Roman"/>
          <w:sz w:val="18"/>
          <w:szCs w:val="18"/>
          <w:color w:val="auto"/>
        </w:rPr>
        <w:t>. Each party shall have the right to submit dispositive motions pursuant Rule 12 or Rule 56 of the Utah Rules of Civil Procedure (a “</w:t>
      </w:r>
      <w:r>
        <w:rPr>
          <w:rFonts w:ascii="Times New Roman" w:cs="Times New Roman" w:eastAsia="Times New Roman" w:hAnsi="Times New Roman"/>
          <w:sz w:val="18"/>
          <w:szCs w:val="18"/>
          <w:b w:val="1"/>
          <w:bCs w:val="1"/>
          <w:color w:val="auto"/>
        </w:rPr>
        <w:t>Dispositive Motion</w:t>
      </w:r>
      <w:r>
        <w:rPr>
          <w:rFonts w:ascii="Times New Roman" w:cs="Times New Roman" w:eastAsia="Times New Roman" w:hAnsi="Times New Roman"/>
          <w:sz w:val="18"/>
          <w:szCs w:val="18"/>
          <w:color w:val="auto"/>
        </w:rPr>
        <w:t>”). The party submitting the Dispositive Motion may, but is not required to, deliver to the arbitrator and to the other party a memorandum in support (the “</w:t>
      </w:r>
      <w:r>
        <w:rPr>
          <w:rFonts w:ascii="Times New Roman" w:cs="Times New Roman" w:eastAsia="Times New Roman" w:hAnsi="Times New Roman"/>
          <w:sz w:val="18"/>
          <w:szCs w:val="18"/>
          <w:b w:val="1"/>
          <w:bCs w:val="1"/>
          <w:color w:val="auto"/>
        </w:rPr>
        <w:t>Memorandum in Support</w:t>
      </w:r>
      <w:r>
        <w:rPr>
          <w:rFonts w:ascii="Times New Roman" w:cs="Times New Roman" w:eastAsia="Times New Roman" w:hAnsi="Times New Roman"/>
          <w:sz w:val="18"/>
          <w:szCs w:val="18"/>
          <w:color w:val="auto"/>
        </w:rPr>
        <w:t>”) of the Dispositive Motion. Within seven (7) calendar days of delivery of the Memorandum in Support, the other party shall deliver to the arbitrator and to the other party a memorandum in opposition to the Memorandum in Support (the “</w:t>
      </w:r>
      <w:r>
        <w:rPr>
          <w:rFonts w:ascii="Times New Roman" w:cs="Times New Roman" w:eastAsia="Times New Roman" w:hAnsi="Times New Roman"/>
          <w:sz w:val="18"/>
          <w:szCs w:val="18"/>
          <w:b w:val="1"/>
          <w:bCs w:val="1"/>
          <w:color w:val="auto"/>
        </w:rPr>
        <w:t>Memorandum in Opposition</w:t>
      </w:r>
      <w:r>
        <w:rPr>
          <w:rFonts w:ascii="Times New Roman" w:cs="Times New Roman" w:eastAsia="Times New Roman" w:hAnsi="Times New Roman"/>
          <w:sz w:val="18"/>
          <w:szCs w:val="18"/>
          <w:color w:val="auto"/>
        </w:rPr>
        <w:t>”). Within seven (7) calendar days of delivery of the Memorandum in Opposition, as applicable, the party that submitted the Memorandum in Support shall deliver to the arbitrator and to the other party a reply memorandum to the Memorandum in Opposition (“</w:t>
      </w:r>
      <w:r>
        <w:rPr>
          <w:rFonts w:ascii="Times New Roman" w:cs="Times New Roman" w:eastAsia="Times New Roman" w:hAnsi="Times New Roman"/>
          <w:sz w:val="18"/>
          <w:szCs w:val="18"/>
          <w:b w:val="1"/>
          <w:bCs w:val="1"/>
          <w:color w:val="auto"/>
        </w:rPr>
        <w:t>Reply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Memorandum</w:t>
      </w:r>
      <w:r>
        <w:rPr>
          <w:rFonts w:ascii="Times New Roman" w:cs="Times New Roman" w:eastAsia="Times New Roman" w:hAnsi="Times New Roman"/>
          <w:sz w:val="18"/>
          <w:szCs w:val="18"/>
          <w:color w:val="auto"/>
        </w:rPr>
        <w:t>”). If the applicable party shall fail to deliver the Memorandum in Opposition as required above, or if the other party fails to deliver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Reply Memorandum as required above, then the applicable party shall lose its right to so deliver the same, and the Dispositive Motion shall proceed regardless.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All information disclosed by either party (or such party’s agents) during the Arbitration process (including without limitation information disclosed during the discovery process or any Appeal (defined below)) shall be considered confidential in nature. Each party agrees not to disclose any confidential information received from the other party (or its agents) during the Arbitration process (including without limitation during the discovery process or any Appeal) unless (a) prior to or after the time of disclosure such information becomes public knowledge or part of the public domain, not as a result of any inaction or action of the receiving party or its agents, (b) such information is required by a court order, subpoena or similar legal duress to be disclosed if such receiving party has notified the other party thereof in writing and given it a reasonable opportunity to obtain a protective order from a court of competent jurisdiction prior to disclosure, or (c) such information is disclosed to the receiving party’s agents, representatives and legal counsel on a need to know basis who each agree in writing not to disclose such information to any third party. Pursuant to Section 118(5) of the Arbitration Act, the arbitrator is hereby authorized and directed to issue a protective order to prevent the disclosure of privileged information and confidential information upon the written request of either party.</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i w:val="1"/>
          <w:iCs w:val="1"/>
          <w:color w:val="auto"/>
        </w:rPr>
        <w:t>Authorization; Timing; Scheduling Order</w:t>
      </w:r>
      <w:r>
        <w:rPr>
          <w:rFonts w:ascii="Times New Roman" w:cs="Times New Roman" w:eastAsia="Times New Roman" w:hAnsi="Times New Roman"/>
          <w:sz w:val="18"/>
          <w:szCs w:val="18"/>
          <w:color w:val="auto"/>
        </w:rPr>
        <w:t>. Subject to all other sections of these Arbitration Provisions, the parties hereby authorize and direct the arbitrator to take such actions and make such rulings as may be necessary to carry out the parties’ intent for the Arbitration proceedings to be efficient and expeditious. Pursuant to Section 120 of the Arbitration Act, the parties hereby agree that an Arbitration Award must be made within one hundred twenty</w:t>
      </w:r>
    </w:p>
    <w:p>
      <w:pPr>
        <w:spacing w:after="0" w:line="1" w:lineRule="exact"/>
        <w:rPr>
          <w:sz w:val="20"/>
          <w:szCs w:val="20"/>
          <w:color w:val="auto"/>
        </w:rPr>
      </w:pPr>
    </w:p>
    <w:p>
      <w:pPr>
        <w:ind w:left="440" w:hanging="432"/>
        <w:spacing w:after="0"/>
        <w:tabs>
          <w:tab w:leader="none" w:pos="4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the Arbitration Commencement Date. The arbitrator is hereby authorized and directed to hold a scheduling conference within ten</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5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the Arbitration Commencement Date in order to establish a scheduling order with various binding deadlines for discovery, expert testimony, and the submission of documents by the parties to enable the arbitrator to render a decision prior to the end of such 120-day period.</w:t>
      </w:r>
    </w:p>
    <w:p>
      <w:pPr>
        <w:spacing w:after="0" w:line="17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i w:val="1"/>
          <w:iCs w:val="1"/>
          <w:color w:val="auto"/>
        </w:rPr>
        <w:t>Relief</w:t>
      </w:r>
      <w:r>
        <w:rPr>
          <w:rFonts w:ascii="Times New Roman" w:cs="Times New Roman" w:eastAsia="Times New Roman" w:hAnsi="Times New Roman"/>
          <w:sz w:val="18"/>
          <w:szCs w:val="18"/>
          <w:color w:val="auto"/>
        </w:rPr>
        <w:t>. The arbitrator shall have the right to award or include in the Arbitration Award (or in a preliminary ruling) any relief which the arbitrator deems proper under the circumstances, including, without limitation, specific performance and injunctive relief, provided that the arbitrator may not award exemplary or punitive damages.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1" w:name="page132"/>
    <w:bookmarkEnd w:id="13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i w:val="1"/>
          <w:iCs w:val="1"/>
          <w:color w:val="auto"/>
        </w:rPr>
        <w:t>Fees and Costs</w:t>
      </w:r>
      <w:r>
        <w:rPr>
          <w:rFonts w:ascii="Times New Roman" w:cs="Times New Roman" w:eastAsia="Times New Roman" w:hAnsi="Times New Roman"/>
          <w:sz w:val="18"/>
          <w:szCs w:val="18"/>
          <w:color w:val="auto"/>
        </w:rPr>
        <w:t>. As part of the Arbitration Award, the arbitrator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(b) reimburse the prevailing party for all reasonable attorneys’ fees, arbitrator costs and fees, deposition costs, other discovery costs, and other expenses, costs or fees paid or otherwise incurred by the prevailing party in connection with the Arbitration.</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i w:val="1"/>
          <w:iCs w:val="1"/>
          <w:color w:val="auto"/>
        </w:rPr>
        <w:t>Motion to Vacate</w:t>
      </w:r>
      <w:r>
        <w:rPr>
          <w:rFonts w:ascii="Times New Roman" w:cs="Times New Roman" w:eastAsia="Times New Roman" w:hAnsi="Times New Roman"/>
          <w:sz w:val="18"/>
          <w:szCs w:val="18"/>
          <w:color w:val="auto"/>
        </w:rPr>
        <w:t>. Following the entry of the Arbitration Award, if either party desires to file a Motion to Vacate the Arbitration Award with a court in Salt Lake County, Utah, it must do so within the earlier of: (a) thirty (30) days of entry of the Arbitration Award; and (b) in response to the prevailing party’s Motion to Confirm the Arbitration Award.</w:t>
      </w:r>
    </w:p>
    <w:p>
      <w:pPr>
        <w:spacing w:after="0" w:line="175"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Appeal</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i w:val="1"/>
          <w:iCs w:val="1"/>
          <w:color w:val="auto"/>
        </w:rPr>
        <w:t>Initiation of Appeal.</w:t>
      </w:r>
      <w:r>
        <w:rPr>
          <w:rFonts w:ascii="Times New Roman" w:cs="Times New Roman" w:eastAsia="Times New Roman" w:hAnsi="Times New Roman"/>
          <w:sz w:val="18"/>
          <w:szCs w:val="18"/>
          <w:color w:val="auto"/>
        </w:rPr>
        <w:t xml:space="preserve"> Following the entry of the Arbitration Award, either party (the “</w:t>
      </w:r>
      <w:r>
        <w:rPr>
          <w:rFonts w:ascii="Times New Roman" w:cs="Times New Roman" w:eastAsia="Times New Roman" w:hAnsi="Times New Roman"/>
          <w:sz w:val="18"/>
          <w:szCs w:val="18"/>
          <w:b w:val="1"/>
          <w:bCs w:val="1"/>
          <w:color w:val="auto"/>
        </w:rPr>
        <w:t>Appellant</w:t>
      </w:r>
      <w:r>
        <w:rPr>
          <w:rFonts w:ascii="Times New Roman" w:cs="Times New Roman" w:eastAsia="Times New Roman" w:hAnsi="Times New Roman"/>
          <w:sz w:val="18"/>
          <w:szCs w:val="18"/>
          <w:color w:val="auto"/>
        </w:rPr>
        <w:t xml:space="preserve">”) shall have a period of thirty (30) calendar days in which to notify the other party (the “ </w:t>
      </w:r>
      <w:r>
        <w:rPr>
          <w:rFonts w:ascii="Times New Roman" w:cs="Times New Roman" w:eastAsia="Times New Roman" w:hAnsi="Times New Roman"/>
          <w:sz w:val="18"/>
          <w:szCs w:val="18"/>
          <w:b w:val="1"/>
          <w:bCs w:val="1"/>
          <w:color w:val="auto"/>
        </w:rPr>
        <w:t>Appellee</w:t>
      </w:r>
      <w:r>
        <w:rPr>
          <w:rFonts w:ascii="Times New Roman" w:cs="Times New Roman" w:eastAsia="Times New Roman" w:hAnsi="Times New Roman"/>
          <w:sz w:val="18"/>
          <w:szCs w:val="18"/>
          <w:color w:val="auto"/>
        </w:rPr>
        <w:t>”), in writing, that the Appellant elects to appeal (the “</w:t>
      </w:r>
      <w:r>
        <w:rPr>
          <w:rFonts w:ascii="Times New Roman" w:cs="Times New Roman" w:eastAsia="Times New Roman" w:hAnsi="Times New Roman"/>
          <w:sz w:val="18"/>
          <w:szCs w:val="18"/>
          <w:b w:val="1"/>
          <w:bCs w:val="1"/>
          <w:color w:val="auto"/>
        </w:rPr>
        <w:t>Appeal</w:t>
      </w:r>
      <w:r>
        <w:rPr>
          <w:rFonts w:ascii="Times New Roman" w:cs="Times New Roman" w:eastAsia="Times New Roman" w:hAnsi="Times New Roman"/>
          <w:sz w:val="18"/>
          <w:szCs w:val="18"/>
          <w:color w:val="auto"/>
        </w:rPr>
        <w:t>”) the Arbitration Award (such notice, an “</w:t>
      </w:r>
      <w:r>
        <w:rPr>
          <w:rFonts w:ascii="Times New Roman" w:cs="Times New Roman" w:eastAsia="Times New Roman" w:hAnsi="Times New Roman"/>
          <w:sz w:val="18"/>
          <w:szCs w:val="18"/>
          <w:b w:val="1"/>
          <w:bCs w:val="1"/>
          <w:color w:val="auto"/>
        </w:rPr>
        <w:t>Appeal Notice</w:t>
      </w:r>
      <w:r>
        <w:rPr>
          <w:rFonts w:ascii="Times New Roman" w:cs="Times New Roman" w:eastAsia="Times New Roman" w:hAnsi="Times New Roman"/>
          <w:sz w:val="18"/>
          <w:szCs w:val="18"/>
          <w:color w:val="auto"/>
        </w:rPr>
        <w:t>”) to a panel of arbitrators as provided in Paragraph 5.2 below. The date the Appellant delivers an Appeal Notice to the Appellee is referred to herein as the “</w:t>
      </w:r>
      <w:r>
        <w:rPr>
          <w:rFonts w:ascii="Times New Roman" w:cs="Times New Roman" w:eastAsia="Times New Roman" w:hAnsi="Times New Roman"/>
          <w:sz w:val="18"/>
          <w:szCs w:val="18"/>
          <w:b w:val="1"/>
          <w:bCs w:val="1"/>
          <w:color w:val="auto"/>
        </w:rPr>
        <w:t>Appeal Date</w:t>
      </w:r>
      <w:r>
        <w:rPr>
          <w:rFonts w:ascii="Times New Roman" w:cs="Times New Roman" w:eastAsia="Times New Roman" w:hAnsi="Times New Roman"/>
          <w:sz w:val="18"/>
          <w:szCs w:val="18"/>
          <w:color w:val="auto"/>
        </w:rPr>
        <w:t>”. The Appeal Notice must be delivered to the Appellee in accordance with the provisions of Paragraph 4.1 above with respect to delivery of an Arbitration Notice. In addition, together with delivery of the Appeal Notice to the Appellee, the Appellant must also pay for (and provide proof of such payment to the Appellee together with delivery of the Appeal Notice) a bond in the amount of 110% of the sum the Appellant owes to the Appellee as a result of the Arbitration Award the Appellant is appealing. In the event an Appellant delivers an Appeal Notice to the Appellee (together with proof of payment of the applicable bond) in compliance with the provisions of this Paragraph 5.1, the Appeal will occur as a matter of right and, except as specifically set forth herein, will not be further conditioned. In the event a party does not deliver an Appeal Notice (along with proof of payment of the applicable bond) to the other party within the deadline prescribed in this Paragraph 5.1, such party shall lose its right to appeal the Arbitration Award. The Arbitration Award will be considered final until the Appeal Notice has been properly delivered and the applicable appeal bond has been posted (along with proof of payment of the applicable bond). The parties acknowledge and agree that any Appeal shall be deemed part of the parties’ agreement to arbitrate for purposes of these Arbitration Provisions and the Arbitration Act.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i w:val="1"/>
          <w:iCs w:val="1"/>
          <w:color w:val="auto"/>
        </w:rPr>
        <w:t>Selection and Payment of Appeal Panel.</w:t>
      </w:r>
      <w:r>
        <w:rPr>
          <w:rFonts w:ascii="Times New Roman" w:cs="Times New Roman" w:eastAsia="Times New Roman" w:hAnsi="Times New Roman"/>
          <w:sz w:val="18"/>
          <w:szCs w:val="18"/>
          <w:color w:val="auto"/>
        </w:rPr>
        <w:t xml:space="preserve"> In the event an Appellant delivers an Appeal Notice to the Appellee (together with proof of payment of the applicable bond) in compliance with the provisions of Paragraph 5.1 above, the Appeal will be heard by a three (3) person arbitration panel (the “</w:t>
      </w:r>
      <w:r>
        <w:rPr>
          <w:rFonts w:ascii="Times New Roman" w:cs="Times New Roman" w:eastAsia="Times New Roman" w:hAnsi="Times New Roman"/>
          <w:sz w:val="18"/>
          <w:szCs w:val="18"/>
          <w:b w:val="1"/>
          <w:bCs w:val="1"/>
          <w:color w:val="auto"/>
        </w:rPr>
        <w:t>Appeal Panel</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656"/>
        <w:spacing w:after="0" w:line="265" w:lineRule="auto"/>
        <w:tabs>
          <w:tab w:leader="none" w:pos="1296"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ten (10) calendar days after the Appeal Date, the Appellee shall select and submit to the Appellant the names of five (5) arbitrators that are designated as “neutrals” or qualified arbitrators by Utah ADR Services (http://www.utahadrservices.com) (such five (5) designated persons hereunder are referred to herein as the “</w:t>
      </w:r>
      <w:r>
        <w:rPr>
          <w:rFonts w:ascii="Times New Roman" w:cs="Times New Roman" w:eastAsia="Times New Roman" w:hAnsi="Times New Roman"/>
          <w:sz w:val="17"/>
          <w:szCs w:val="17"/>
          <w:b w:val="1"/>
          <w:bCs w:val="1"/>
          <w:color w:val="auto"/>
        </w:rPr>
        <w:t>Proposed Appeal Arbitrators</w:t>
      </w:r>
      <w:r>
        <w:rPr>
          <w:rFonts w:ascii="Times New Roman" w:cs="Times New Roman" w:eastAsia="Times New Roman" w:hAnsi="Times New Roman"/>
          <w:sz w:val="17"/>
          <w:szCs w:val="17"/>
          <w:color w:val="auto"/>
        </w:rPr>
        <w:t>”). For the avoidance of doubt, each Proposed Appeal Arbitrator must be qualified as a “neutral” with Utah ADR Services, and shall not be the arbitrator who rendered the Arbitration Award being appealed (the “</w:t>
      </w:r>
      <w:r>
        <w:rPr>
          <w:rFonts w:ascii="Times New Roman" w:cs="Times New Roman" w:eastAsia="Times New Roman" w:hAnsi="Times New Roman"/>
          <w:sz w:val="17"/>
          <w:szCs w:val="17"/>
          <w:b w:val="1"/>
          <w:bCs w:val="1"/>
          <w:color w:val="auto"/>
        </w:rPr>
        <w:t>Original Arbitrator</w:t>
      </w:r>
      <w:r>
        <w:rPr>
          <w:rFonts w:ascii="Times New Roman" w:cs="Times New Roman" w:eastAsia="Times New Roman" w:hAnsi="Times New Roman"/>
          <w:sz w:val="17"/>
          <w:szCs w:val="17"/>
          <w:color w:val="auto"/>
        </w:rPr>
        <w:t>”). Within five (5) calendar days after the Appellee has submitted to the Appellant the names of the Proposed Appeal Arbitrators, the Appellant must select, by written notice to the Appellee, three (3) of the Proposed Appeal Arbitrators to act as the members of the Appeal Panel. If the Appellant fails to select three</w:t>
      </w:r>
    </w:p>
    <w:p>
      <w:pPr>
        <w:ind w:right="20" w:firstLine="8"/>
        <w:spacing w:after="0" w:line="250" w:lineRule="auto"/>
        <w:tabs>
          <w:tab w:leader="none" w:pos="27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Proposed Appeal Arbitrators in writing within such 5-day period, then the Appellee may select such three (3) arbitrators from the Proposed Appeal Arbitrators by providing written notice of such selection to the Appellant.</w:t>
      </w:r>
    </w:p>
    <w:p>
      <w:pPr>
        <w:jc w:val="both"/>
        <w:ind w:firstLine="656"/>
        <w:spacing w:after="0" w:line="251" w:lineRule="auto"/>
        <w:tabs>
          <w:tab w:leader="none" w:pos="91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Appellee fails to submit to the Appellant the names of the Proposed Appeal Arbitrators within ten (10) calendar days after the Appeal Date pursuant to subparagraph (a) above, then the Appellant may at any time prior to the Appellee so designating the Proposed Appeal Arbitrators, identify the names of five (5) arbitrators that are designated as “neutrals” or qualified arbitrators by Utah ADR Service (none of whom may be the Original Arbitrator) by written notice to the Appellee. The Appellee may then, within five (5) calendar days after the Appellant has submitted notice of its selected arbitrators to the Appellee, select, by written notice to the Appellant, three (3) of such selected arbitrators to serve on the Appeal Panel. If the Appellee fails to select in writing within such 5-day period three (3) of the arbitrators selected by the Appellant to serve as the members of the Appeal Panel, then the Appellant may select the three (3) members of the Appeal Panel from the Appellant’s list of five (5) arbitrators by providing written notice of such selection to the Appellee.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32" w:name="page133"/>
    <w:bookmarkEnd w:id="132"/>
    <w:p>
      <w:pPr>
        <w:jc w:val="both"/>
        <w:ind w:firstLine="656"/>
        <w:spacing w:after="0" w:line="254" w:lineRule="auto"/>
        <w:tabs>
          <w:tab w:leader="none" w:pos="129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selected Proposed Appeal Arbitrator declines or is otherwise unable to serve, then the party that selected such Proposed Appeal Arbitrator may select one (1) of the other five (5) designated Proposed Appeal Arbitrators within three (3) calendar days of the date a chosen Proposed Appeal Arbitrator declines or notifies the parties he or she is unable to serve as an arbitrator. If at least three (3) of the five (5) designated Proposed Appeal Arbitrators decline or are otherwise unable to serve, then the Proposed Appeal Arbitrator selection process shall begin again in accordance with this Paragraph 5.2;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Proposed Appeal Arbitrators who have already agreed to serve shall remain on the Appeal Panel.</w:t>
      </w:r>
    </w:p>
    <w:p>
      <w:pPr>
        <w:spacing w:after="0" w:line="3" w:lineRule="exact"/>
        <w:rPr>
          <w:rFonts w:ascii="Times New Roman" w:cs="Times New Roman" w:eastAsia="Times New Roman" w:hAnsi="Times New Roman"/>
          <w:sz w:val="18"/>
          <w:szCs w:val="18"/>
          <w:color w:val="auto"/>
        </w:rPr>
      </w:pPr>
    </w:p>
    <w:p>
      <w:pPr>
        <w:jc w:val="both"/>
        <w:ind w:firstLine="656"/>
        <w:spacing w:after="0" w:line="250" w:lineRule="auto"/>
        <w:tabs>
          <w:tab w:leader="none" w:pos="90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all three (3) Proposed Appeal Arbitrators selected pursuant to this Paragraph 5.2 agree in writing (including via email) delivered to both the Appellant and the Appellee to serve as members of the Appeal Panel hereunder is referred to herein as the “</w:t>
      </w:r>
      <w:r>
        <w:rPr>
          <w:rFonts w:ascii="Times New Roman" w:cs="Times New Roman" w:eastAsia="Times New Roman" w:hAnsi="Times New Roman"/>
          <w:sz w:val="18"/>
          <w:szCs w:val="18"/>
          <w:b w:val="1"/>
          <w:bCs w:val="1"/>
          <w:color w:val="auto"/>
        </w:rPr>
        <w:t>Appeal Commencement Date</w:t>
      </w:r>
      <w:r>
        <w:rPr>
          <w:rFonts w:ascii="Times New Roman" w:cs="Times New Roman" w:eastAsia="Times New Roman" w:hAnsi="Times New Roman"/>
          <w:sz w:val="18"/>
          <w:szCs w:val="18"/>
          <w:color w:val="auto"/>
        </w:rPr>
        <w:t>”. No later than five (5) calendar days after the Appeal Commencement Date, the Appellee shall designate in writing (including via email) to the Appellant and the Appeal Panel the name of one (1) of the three (3) members of the Appeal Panel to serve as the lead arbitrator in the Appeal proceedings. Each member of the Appeal Panel shall be deemed an arbitrator for purposes of these Arbitration Provisions and the Arbitration Act, provided that, in conducting the Appeal, the Appeal Panel may only act or make determinations upon the approval or vote of no less than the majority vote of its members, as announced or communicated by the lead arbitrator on the Appeal Panel. If an arbitrator on the Appeal Panel ceases or is unable to act during the Appeal proceedings, a replacement arbitrator shall be chosen in accordance with Paragraph 5.2 above to continue the Appeal as a member of the Appeal Panel. If Utah ADR Services ceases to exist or to provide a list of neutrals, then the arbitrators for the Appeal Panel shall be selected under the prevailing rules of the American Arbitration Association.</w:t>
      </w:r>
    </w:p>
    <w:p>
      <w:pPr>
        <w:spacing w:after="0" w:line="3"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5.7 below, the cost of the Appeal Panel must be paid entirely by the Appellant.</w:t>
      </w:r>
    </w:p>
    <w:p>
      <w:pPr>
        <w:spacing w:after="0" w:line="2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i w:val="1"/>
          <w:iCs w:val="1"/>
          <w:color w:val="auto"/>
        </w:rPr>
        <w:t>Appeal Procedure.</w:t>
      </w:r>
      <w:r>
        <w:rPr>
          <w:rFonts w:ascii="Times New Roman" w:cs="Times New Roman" w:eastAsia="Times New Roman" w:hAnsi="Times New Roman"/>
          <w:sz w:val="18"/>
          <w:szCs w:val="18"/>
          <w:color w:val="auto"/>
        </w:rPr>
        <w:t xml:space="preserve"> The Appeal will be deemed an appeal of the entire Arbitration Award. In conducting the Appeal, the Appeal Panel shall conduct a de novo review of all Claims described or otherwise set forth in the Arbitration Notice. Subject to the foregoing and all other provisions of this Paragraph 5, the Appeal Panel shall conduct the Appeal in a manner the Appeal Panel considers appropriate for a fair and expeditious disposition of the Appeal, may hold one or more hearings and permit oral argument, and may review all previous evidence and discovery, together with all briefs, pleadings and other documents filed with the Original Arbitrator (as well as any documents filed with the Appeal Panel pursuant to Paragraph 5.4(a) below). Notwithstanding the foregoing, in connection with the Appeal, the Appeal Panel shall not permit the parties to conduct any additional discovery or raise any new Claims to be arbitrated, shall not permit new witnesses or affidavits, and shall not base any of its findings or determinations on the Original Arbitrator’ s findings or the Arbitration Award.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i w:val="1"/>
          <w:iCs w:val="1"/>
          <w:color w:val="auto"/>
        </w:rPr>
        <w:t>Timing.</w:t>
      </w:r>
    </w:p>
    <w:p>
      <w:pPr>
        <w:spacing w:after="0" w:line="29" w:lineRule="exact"/>
        <w:rPr>
          <w:sz w:val="20"/>
          <w:szCs w:val="20"/>
          <w:color w:val="auto"/>
        </w:rPr>
      </w:pPr>
    </w:p>
    <w:p>
      <w:pPr>
        <w:jc w:val="both"/>
        <w:ind w:firstLine="656"/>
        <w:spacing w:after="0" w:line="250" w:lineRule="auto"/>
        <w:tabs>
          <w:tab w:leader="none" w:pos="129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seven (7) calendar days of the Appeal Commencement Date, the Appellant (i) shall deliver or cause to be delivered to the Appeal Panel copies of the Appeal Notice, all discovery conducted in connection with the Arbitration, and all briefs, pleadings and other documents filed with the Original Arbitrator (which material Appellee shall have the right to review and supplement if necessary), and (ii) may, but is not required to, deliver to the Appeal Panel and to the Appellee a Memorandum in Support of the Appellant’ s arguments concerning or position with respect to all Claims, counterclaims, issues, or accountings presented or pleaded in the Arbitration. Within seven (7) calendar days of the Appellant’s delivery of the Memorandum in Support, as applicable, the Appellee shall deliver to the Appeal Panel and to the Appellant a Memorandum in Opposition to the Memorandum in Support. Within seven (7) calendar days of the Appellee’s delivery of the Memorandum in Opposition, as applicable, the Appellant shall deliver to the Appeal Panel and to the Appellee a Reply Memorandum to the Memorandum in Opposition. If the Appellant shall fail to substantially comply with the requirements of clause (i) of this subparagraph (a), the Appellant shall lose its right to appeal the Arbitration Award, and the Arbitration Award shall be final. If the Appellee shall fail to deliver the Memorandum in Opposition as required above, or if the Appellant shall fail to deliver the Reply Memorandum as required above, then the Appellee or the Appellant, as the case may be, shall lose its right to so deliver the same, and the Appeal shall proceed regardless.</w:t>
      </w:r>
    </w:p>
    <w:p>
      <w:pPr>
        <w:spacing w:after="0" w:line="4" w:lineRule="exact"/>
        <w:rPr>
          <w:rFonts w:ascii="Times New Roman" w:cs="Times New Roman" w:eastAsia="Times New Roman" w:hAnsi="Times New Roman"/>
          <w:sz w:val="18"/>
          <w:szCs w:val="18"/>
          <w:color w:val="auto"/>
        </w:rPr>
      </w:pPr>
    </w:p>
    <w:p>
      <w:pPr>
        <w:jc w:val="both"/>
        <w:ind w:right="20" w:firstLine="656"/>
        <w:spacing w:after="0" w:line="255" w:lineRule="auto"/>
        <w:tabs>
          <w:tab w:leader="none" w:pos="129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subparagraph (a) above, the parties hereby agree that the Appeal must be heard by the Appeal Panel within thirty (30) calendar days of the Appeal Commencement Date, and that the Appeal Panel must render its decision within thirty (30) calendar days after the Appeal is heard (and in no event later than sixty (60) calendar days after the Appeal Commencement Date).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3" w:name="page134"/>
    <w:bookmarkEnd w:id="13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i w:val="1"/>
          <w:iCs w:val="1"/>
          <w:color w:val="auto"/>
        </w:rPr>
        <w:t>Appeal Panel Award.</w:t>
      </w:r>
      <w:r>
        <w:rPr>
          <w:rFonts w:ascii="Times New Roman" w:cs="Times New Roman" w:eastAsia="Times New Roman" w:hAnsi="Times New Roman"/>
          <w:sz w:val="18"/>
          <w:szCs w:val="18"/>
          <w:color w:val="auto"/>
        </w:rPr>
        <w:t xml:space="preserve"> The Appeal Panel shall issue its decision (the “</w:t>
      </w:r>
      <w:r>
        <w:rPr>
          <w:rFonts w:ascii="Times New Roman" w:cs="Times New Roman" w:eastAsia="Times New Roman" w:hAnsi="Times New Roman"/>
          <w:sz w:val="18"/>
          <w:szCs w:val="18"/>
          <w:b w:val="1"/>
          <w:bCs w:val="1"/>
          <w:color w:val="auto"/>
        </w:rPr>
        <w:t>Appeal Panel Award</w:t>
      </w:r>
      <w:r>
        <w:rPr>
          <w:rFonts w:ascii="Times New Roman" w:cs="Times New Roman" w:eastAsia="Times New Roman" w:hAnsi="Times New Roman"/>
          <w:sz w:val="18"/>
          <w:szCs w:val="18"/>
          <w:color w:val="auto"/>
        </w:rPr>
        <w:t>”) through the lead arbitrator on the Appeal Panel. Notwithstanding any other provision contained herein, the Appeal Panel Award shall (a) supersede in its entirety and make of no further force or effect the Arbitration Award (provided that any protective orders issued by the Original Arbitrator shall remain in full force and effect), (b) be final and binding upon the parties, with no further rights of appeal, (c) be the sole and exclusive remedy between the parties regarding any Claims, counterclaims, issues, or accountings presented or pleaded in the Arbitration, and (d) be promptly payable in United States dollars free of any tax, deduction or offset (with respect to monetary awards). Any costs or fees, including without limitation reasonable attorneys’ fees, incurred in connection with or incident to enforcing the Appeal Panel Award shall, to the maximum extent permitted by law, be charged against the party resisting such enforcement. The Appeal Panel Award shall include Default Interest (with respect to monetary awards) at the rate specified in the Note for Default Interest both before and after the Arbitration Award. Judgment upon the Appeal Panel Award will be entered and enforced by a state or federal court sitting in Salt Lake County, Utah.</w:t>
      </w:r>
    </w:p>
    <w:p>
      <w:pPr>
        <w:spacing w:after="0" w:line="19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i w:val="1"/>
          <w:iCs w:val="1"/>
          <w:color w:val="auto"/>
        </w:rPr>
        <w:t>Relief.</w:t>
      </w:r>
      <w:r>
        <w:rPr>
          <w:rFonts w:ascii="Times New Roman" w:cs="Times New Roman" w:eastAsia="Times New Roman" w:hAnsi="Times New Roman"/>
          <w:sz w:val="18"/>
          <w:szCs w:val="18"/>
          <w:color w:val="auto"/>
        </w:rPr>
        <w:t xml:space="preserve"> The Appeal Panel shall have the right to award or include in the Appeal Panel Award any relief which the Appeal Panel deems proper under the circumstances, including, without limitation, specific performance and injunctive relief, provided that the Appeal Panel may not award exemplary or punitive damages.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i w:val="1"/>
          <w:iCs w:val="1"/>
          <w:color w:val="auto"/>
        </w:rPr>
        <w:t>Fees and Costs.</w:t>
      </w:r>
      <w:r>
        <w:rPr>
          <w:rFonts w:ascii="Times New Roman" w:cs="Times New Roman" w:eastAsia="Times New Roman" w:hAnsi="Times New Roman"/>
          <w:sz w:val="18"/>
          <w:szCs w:val="18"/>
          <w:color w:val="auto"/>
        </w:rPr>
        <w:t xml:space="preserve"> As part of the Appeal Panel Award, the Appeal Panel is hereby directed to require the losing party (the party being awarded the least amount of money by the arbitrator, which, for the avoidance of doubt, shall be determined without regard to any statutory fines, penalties, fees, or other charges awarded to any party) to (a) pay the full amount of any unpaid costs and fees of the Arbitration and the Appeal Panel, and (b) reimburse the prevailing party (the party being awarded the most amount of money by the Appeal Panel, which, for the avoidance of doubt, shall be determined without regard to any statutory fines, penalties, fees, or other charges awarded to any part) the reasonable attorneys’ fees, arbitrator and Appeal Panel costs and fees, deposition costs, other discovery costs, and other expenses, costs or fees paid or otherwise incurred by the prevailing party in connection with the Arbitration (including without limitation in connection with the Appeal).</w:t>
      </w:r>
    </w:p>
    <w:p>
      <w:pPr>
        <w:spacing w:after="0" w:line="185"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If any part of these Arbitration Provisions is found to violate or be illegal under applicable law, then such provision shall be modified to the minimum extent necessary to make such provision enforceable under applicable law, and the remainder of the Arbitration Provisions shall remain unaffected and in full force and effect.</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These Arbitration Provisions shall be governed by the laws of the State of Utah without regard to the conflict of laws principles therein.</w:t>
      </w:r>
    </w:p>
    <w:p>
      <w:pPr>
        <w:spacing w:after="0" w:line="1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The headings of these Arbitration Provisions are for convenience of reference only and shall not form part of, or affect the interpretation of, these Arbitration Provisions.</w:t>
      </w:r>
    </w:p>
    <w:p>
      <w:pPr>
        <w:spacing w:after="0" w:line="1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No waiver of any provision of these Arbitration Provisions shall be effective unless it is in the form of a writing signed by the party granting the waiver.</w:t>
      </w:r>
    </w:p>
    <w:p>
      <w:pPr>
        <w:spacing w:after="0" w:line="158"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i w:val="1"/>
          <w:iCs w:val="1"/>
          <w:color w:val="auto"/>
        </w:rPr>
        <w:t>Time is of the Essence</w:t>
      </w:r>
      <w:r>
        <w:rPr>
          <w:rFonts w:ascii="Times New Roman" w:cs="Times New Roman" w:eastAsia="Times New Roman" w:hAnsi="Times New Roman"/>
          <w:sz w:val="17"/>
          <w:szCs w:val="17"/>
          <w:color w:val="auto"/>
        </w:rPr>
        <w:t>. Time is expressly made of the essence with respect to each and every provision of these Arbitration Provisions.</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FACILITY AGREEMENT</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 xml:space="preserve">This Term Loan Facility Agreement (this </w:t>
      </w:r>
      <w:r>
        <w:rPr>
          <w:rFonts w:ascii="Times New Roman" w:cs="Times New Roman" w:eastAsia="Times New Roman" w:hAnsi="Times New Roman"/>
          <w:sz w:val="18"/>
          <w:szCs w:val="18"/>
          <w:b w:val="1"/>
          <w:bCs w:val="1"/>
          <w:color w:val="auto"/>
        </w:rPr>
        <w:t>"Agreement''_ )</w:t>
      </w:r>
      <w:r>
        <w:rPr>
          <w:rFonts w:ascii="Times New Roman" w:cs="Times New Roman" w:eastAsia="Times New Roman" w:hAnsi="Times New Roman"/>
          <w:sz w:val="18"/>
          <w:szCs w:val="18"/>
          <w:color w:val="auto"/>
        </w:rPr>
        <w:t xml:space="preserve"> is made and entered into as of the date of execution by both Parties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by and between:</w:t>
      </w:r>
    </w:p>
    <w:p>
      <w:pPr>
        <w:spacing w:after="0" w:line="155" w:lineRule="exact"/>
        <w:rPr>
          <w:sz w:val="20"/>
          <w:szCs w:val="20"/>
          <w:color w:val="auto"/>
        </w:rPr>
      </w:pPr>
    </w:p>
    <w:p>
      <w:pPr>
        <w:ind w:left="760" w:hanging="320"/>
        <w:spacing w:after="0"/>
        <w:tabs>
          <w:tab w:leader="none" w:pos="760" w:val="left"/>
        </w:tabs>
        <w:numPr>
          <w:ilvl w:val="0"/>
          <w:numId w:val="8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Vienna Capital Partners, LLC, </w:t>
      </w:r>
      <w:r>
        <w:rPr>
          <w:rFonts w:ascii="Times New Roman" w:cs="Times New Roman" w:eastAsia="Times New Roman" w:hAnsi="Times New Roman"/>
          <w:sz w:val="18"/>
          <w:szCs w:val="18"/>
          <w:color w:val="auto"/>
        </w:rPr>
        <w:t>a Delaware limited liability company</w:t>
      </w:r>
      <w:r>
        <w:rPr>
          <w:rFonts w:ascii="Times New Roman" w:cs="Times New Roman" w:eastAsia="Times New Roman" w:hAnsi="Times New Roman"/>
          <w:sz w:val="18"/>
          <w:szCs w:val="18"/>
          <w:b w:val="1"/>
          <w:bCs w:val="1"/>
          <w:color w:val="auto"/>
        </w:rPr>
        <w:t xml:space="preserve"> ("Lender"); </w:t>
      </w:r>
      <w:r>
        <w:rPr>
          <w:rFonts w:ascii="Times New Roman" w:cs="Times New Roman" w:eastAsia="Times New Roman" w:hAnsi="Times New Roman"/>
          <w:sz w:val="18"/>
          <w:szCs w:val="18"/>
          <w:color w:val="auto"/>
        </w:rPr>
        <w:t>and</w:t>
      </w:r>
    </w:p>
    <w:p>
      <w:pPr>
        <w:spacing w:after="0" w:line="224" w:lineRule="exact"/>
        <w:rPr>
          <w:rFonts w:ascii="Arial" w:cs="Arial" w:eastAsia="Arial" w:hAnsi="Arial"/>
          <w:sz w:val="18"/>
          <w:szCs w:val="18"/>
          <w:b w:val="1"/>
          <w:bCs w:val="1"/>
          <w:color w:val="auto"/>
        </w:rPr>
      </w:pPr>
    </w:p>
    <w:p>
      <w:pPr>
        <w:ind w:left="760" w:hanging="320"/>
        <w:spacing w:after="0"/>
        <w:tabs>
          <w:tab w:leader="none" w:pos="760" w:val="left"/>
        </w:tabs>
        <w:numPr>
          <w:ilvl w:val="0"/>
          <w:numId w:val="8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Davion Healthcare PLC, </w:t>
      </w:r>
      <w:r>
        <w:rPr>
          <w:rFonts w:ascii="Times New Roman" w:cs="Times New Roman" w:eastAsia="Times New Roman" w:hAnsi="Times New Roman"/>
          <w:sz w:val="18"/>
          <w:szCs w:val="18"/>
          <w:color w:val="auto"/>
        </w:rPr>
        <w:t>a public limited company incorporated under the laws of the Republic of Ireland</w:t>
      </w:r>
      <w:r>
        <w:rPr>
          <w:rFonts w:ascii="Times New Roman" w:cs="Times New Roman" w:eastAsia="Times New Roman" w:hAnsi="Times New Roman"/>
          <w:sz w:val="18"/>
          <w:szCs w:val="18"/>
          <w:b w:val="1"/>
          <w:bCs w:val="1"/>
          <w:color w:val="auto"/>
        </w:rPr>
        <w:t xml:space="preserve"> ("Borrower").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Lender and Borrower are collectively referred to as the"</w:t>
      </w:r>
      <w:r>
        <w:rPr>
          <w:rFonts w:ascii="Times New Roman" w:cs="Times New Roman" w:eastAsia="Times New Roman" w:hAnsi="Times New Roman"/>
          <w:sz w:val="18"/>
          <w:szCs w:val="18"/>
          <w:b w:val="1"/>
          <w:bCs w:val="1"/>
          <w:color w:val="auto"/>
        </w:rPr>
        <w:t>Parties".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2160"/>
        <w:spacing w:after="0" w:line="516" w:lineRule="auto"/>
        <w:rPr>
          <w:sz w:val="20"/>
          <w:szCs w:val="20"/>
          <w:color w:val="auto"/>
        </w:rPr>
      </w:pPr>
      <w:r>
        <w:rPr>
          <w:rFonts w:ascii="Times New Roman" w:cs="Times New Roman" w:eastAsia="Times New Roman" w:hAnsi="Times New Roman"/>
          <w:sz w:val="18"/>
          <w:szCs w:val="18"/>
          <w:color w:val="auto"/>
        </w:rPr>
        <w:t>WHEREAS, the Borrower desires access to a committed loan facility for working capital and general corporate purposes; and WHEREAS, the Lender has agreed to make available such a facility on the terms set forth herein; NOW, THEREFORE, the Parties agree as follows:</w:t>
      </w:r>
    </w:p>
    <w:p>
      <w:pPr>
        <w:spacing w:after="0" w:line="173"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Facility Amount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Lender irrevocably agrees to make available to the Borrower a committed term loan facility in an aggregate principal amount of up 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US$2,000,000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"Facility" or "Principal Amount")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Availability Period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"Availability Period"</w:t>
      </w:r>
      <w:r>
        <w:rPr>
          <w:rFonts w:ascii="Times New Roman" w:cs="Times New Roman" w:eastAsia="Times New Roman" w:hAnsi="Times New Roman"/>
          <w:sz w:val="18"/>
          <w:szCs w:val="18"/>
          <w:color w:val="auto"/>
        </w:rPr>
        <w:t xml:space="preserve"> shall mean the period commencing on:</w:t>
      </w:r>
    </w:p>
    <w:p>
      <w:pPr>
        <w:spacing w:after="0" w:line="225" w:lineRule="exact"/>
        <w:rPr>
          <w:sz w:val="20"/>
          <w:szCs w:val="20"/>
          <w:color w:val="auto"/>
        </w:rPr>
      </w:pPr>
    </w:p>
    <w:p>
      <w:pPr>
        <w:ind w:right="120"/>
        <w:spacing w:after="0" w:line="500" w:lineRule="auto"/>
        <w:rPr>
          <w:sz w:val="20"/>
          <w:szCs w:val="20"/>
          <w:color w:val="auto"/>
        </w:rPr>
      </w:pPr>
      <w:r>
        <w:rPr>
          <w:rFonts w:ascii="Times New Roman" w:cs="Times New Roman" w:eastAsia="Times New Roman" w:hAnsi="Times New Roman"/>
          <w:sz w:val="18"/>
          <w:szCs w:val="18"/>
          <w:color w:val="auto"/>
        </w:rPr>
        <w:t xml:space="preserve">the first day on which the Borrower's ordinary shares are admitted to trading on the NASDAQ Stock Market and commence trading (the </w:t>
      </w:r>
      <w:r>
        <w:rPr>
          <w:rFonts w:ascii="Times New Roman" w:cs="Times New Roman" w:eastAsia="Times New Roman" w:hAnsi="Times New Roman"/>
          <w:sz w:val="18"/>
          <w:szCs w:val="18"/>
          <w:b w:val="1"/>
          <w:bCs w:val="1"/>
          <w:color w:val="auto"/>
        </w:rPr>
        <w:t>"Listing Date"),</w:t>
      </w:r>
      <w:r>
        <w:rPr>
          <w:rFonts w:ascii="Times New Roman" w:cs="Times New Roman" w:eastAsia="Times New Roman" w:hAnsi="Times New Roman"/>
          <w:sz w:val="18"/>
          <w:szCs w:val="18"/>
          <w:color w:val="auto"/>
        </w:rPr>
        <w:t xml:space="preserve"> and ending on the date that 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hundred and sixty-five (365) days thereafter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1.3 Drawdowns</w:t>
      </w:r>
    </w:p>
    <w:p>
      <w:pPr>
        <w:spacing w:after="0" w:line="252" w:lineRule="exact"/>
        <w:rPr>
          <w:sz w:val="20"/>
          <w:szCs w:val="20"/>
          <w:color w:val="auto"/>
        </w:rPr>
      </w:pPr>
    </w:p>
    <w:p>
      <w:pPr>
        <w:ind w:left="260" w:hanging="252"/>
        <w:spacing w:after="0"/>
        <w:tabs>
          <w:tab w:leader="none" w:pos="26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may, at its </w:t>
      </w:r>
      <w:r>
        <w:rPr>
          <w:rFonts w:ascii="Times New Roman" w:cs="Times New Roman" w:eastAsia="Times New Roman" w:hAnsi="Times New Roman"/>
          <w:sz w:val="17"/>
          <w:szCs w:val="17"/>
          <w:b w:val="1"/>
          <w:bCs w:val="1"/>
          <w:color w:val="auto"/>
        </w:rPr>
        <w:t>sole and absolute discretion,</w:t>
      </w:r>
      <w:r>
        <w:rPr>
          <w:rFonts w:ascii="Times New Roman" w:cs="Times New Roman" w:eastAsia="Times New Roman" w:hAnsi="Times New Roman"/>
          <w:sz w:val="17"/>
          <w:szCs w:val="17"/>
          <w:color w:val="auto"/>
        </w:rPr>
        <w:t xml:space="preserve"> request one or more drawdowns (each a </w:t>
      </w:r>
      <w:r>
        <w:rPr>
          <w:rFonts w:ascii="Times New Roman" w:cs="Times New Roman" w:eastAsia="Times New Roman" w:hAnsi="Times New Roman"/>
          <w:sz w:val="17"/>
          <w:szCs w:val="17"/>
          <w:b w:val="1"/>
          <w:bCs w:val="1"/>
          <w:color w:val="auto"/>
        </w:rPr>
        <w:t>"Drawdown")</w:t>
      </w:r>
      <w:r>
        <w:rPr>
          <w:rFonts w:ascii="Times New Roman" w:cs="Times New Roman" w:eastAsia="Times New Roman" w:hAnsi="Times New Roman"/>
          <w:sz w:val="17"/>
          <w:szCs w:val="17"/>
          <w:color w:val="auto"/>
        </w:rPr>
        <w:t xml:space="preserve"> during the Availability Period.</w:t>
      </w:r>
    </w:p>
    <w:p>
      <w:pPr>
        <w:spacing w:after="0" w:line="236"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drawdown request shall be made by written notice (a </w:t>
      </w:r>
      <w:r>
        <w:rPr>
          <w:rFonts w:ascii="Times New Roman" w:cs="Times New Roman" w:eastAsia="Times New Roman" w:hAnsi="Times New Roman"/>
          <w:sz w:val="18"/>
          <w:szCs w:val="18"/>
          <w:b w:val="1"/>
          <w:bCs w:val="1"/>
          <w:color w:val="auto"/>
        </w:rPr>
        <w:t>"Drawdown Notice")</w:t>
      </w:r>
      <w:r>
        <w:rPr>
          <w:rFonts w:ascii="Times New Roman" w:cs="Times New Roman" w:eastAsia="Times New Roman" w:hAnsi="Times New Roman"/>
          <w:sz w:val="18"/>
          <w:szCs w:val="18"/>
          <w:color w:val="auto"/>
        </w:rPr>
        <w:t xml:space="preserve"> specifying:</w:t>
      </w:r>
    </w:p>
    <w:p>
      <w:pPr>
        <w:spacing w:after="0" w:line="252" w:lineRule="exact"/>
        <w:rPr>
          <w:rFonts w:ascii="Times New Roman" w:cs="Times New Roman" w:eastAsia="Times New Roman" w:hAnsi="Times New Roman"/>
          <w:sz w:val="18"/>
          <w:szCs w:val="18"/>
          <w:color w:val="auto"/>
        </w:rPr>
      </w:pPr>
    </w:p>
    <w:p>
      <w:pPr>
        <w:ind w:left="740" w:hanging="314"/>
        <w:spacing w:after="0"/>
        <w:tabs>
          <w:tab w:leader="none" w:pos="740" w:val="left"/>
        </w:tabs>
        <w:numPr>
          <w:ilvl w:val="1"/>
          <w:numId w:val="8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the amount to be drawn (each a </w:t>
      </w:r>
      <w:r>
        <w:rPr>
          <w:rFonts w:ascii="Times New Roman" w:cs="Times New Roman" w:eastAsia="Times New Roman" w:hAnsi="Times New Roman"/>
          <w:sz w:val="18"/>
          <w:szCs w:val="18"/>
          <w:b w:val="1"/>
          <w:bCs w:val="1"/>
          <w:color w:val="auto"/>
        </w:rPr>
        <w:t>"Drawdown Amount"),</w:t>
      </w:r>
      <w:r>
        <w:rPr>
          <w:rFonts w:ascii="Times New Roman" w:cs="Times New Roman" w:eastAsia="Times New Roman" w:hAnsi="Times New Roman"/>
          <w:sz w:val="18"/>
          <w:szCs w:val="18"/>
          <w:color w:val="auto"/>
        </w:rPr>
        <w:t xml:space="preserve"> and</w:t>
      </w:r>
    </w:p>
    <w:p>
      <w:pPr>
        <w:spacing w:after="0" w:line="228" w:lineRule="exact"/>
        <w:rPr>
          <w:rFonts w:ascii="Arial" w:cs="Arial" w:eastAsia="Arial" w:hAnsi="Arial"/>
          <w:sz w:val="18"/>
          <w:szCs w:val="18"/>
          <w:b w:val="1"/>
          <w:bCs w:val="1"/>
          <w:color w:val="auto"/>
        </w:rPr>
      </w:pPr>
    </w:p>
    <w:p>
      <w:pPr>
        <w:ind w:left="740" w:hanging="314"/>
        <w:spacing w:after="0"/>
        <w:tabs>
          <w:tab w:leader="none" w:pos="740" w:val="left"/>
        </w:tabs>
        <w:numPr>
          <w:ilvl w:val="1"/>
          <w:numId w:val="8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requested funding date.</w:t>
      </w:r>
    </w:p>
    <w:p>
      <w:pPr>
        <w:spacing w:after="0" w:line="220" w:lineRule="exact"/>
        <w:rPr>
          <w:rFonts w:ascii="Arial" w:cs="Arial" w:eastAsia="Arial" w:hAnsi="Arial"/>
          <w:sz w:val="18"/>
          <w:szCs w:val="18"/>
          <w:b w:val="1"/>
          <w:bCs w:val="1"/>
          <w:color w:val="auto"/>
        </w:rPr>
      </w:pPr>
    </w:p>
    <w:p>
      <w:pPr>
        <w:ind w:left="300" w:hanging="292"/>
        <w:spacing w:after="0"/>
        <w:tabs>
          <w:tab w:leader="none" w:pos="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Each Drawdown Amount shall not be less than Two Hundred and Fifty Thousand Dollars (US$250,000).</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aggregate principal amount of all Drawdowns shall not exceed US$2,000,000 (the "Maximum Facility Amount").</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 shall fund each Drawdown Amount within </w:t>
      </w:r>
      <w:r>
        <w:rPr>
          <w:rFonts w:ascii="Times New Roman" w:cs="Times New Roman" w:eastAsia="Times New Roman" w:hAnsi="Times New Roman"/>
          <w:sz w:val="18"/>
          <w:szCs w:val="18"/>
          <w:b w:val="1"/>
          <w:bCs w:val="1"/>
          <w:color w:val="auto"/>
        </w:rPr>
        <w:t>three (3) Business Days</w:t>
      </w:r>
      <w:r>
        <w:rPr>
          <w:rFonts w:ascii="Times New Roman" w:cs="Times New Roman" w:eastAsia="Times New Roman" w:hAnsi="Times New Roman"/>
          <w:sz w:val="18"/>
          <w:szCs w:val="18"/>
          <w:color w:val="auto"/>
        </w:rPr>
        <w:t xml:space="preserve"> of receipt of a valid Drawdown Notice.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w:t>
      </w:r>
      <w:r>
        <w:rPr>
          <w:rFonts w:ascii="Times New Roman" w:cs="Times New Roman" w:eastAsia="Times New Roman" w:hAnsi="Times New Roman"/>
          <w:sz w:val="18"/>
          <w:szCs w:val="18"/>
          <w:b w:val="1"/>
          <w:bCs w:val="1"/>
          <w:color w:val="auto"/>
        </w:rPr>
        <w:t>no obligation</w:t>
      </w:r>
      <w:r>
        <w:rPr>
          <w:rFonts w:ascii="Times New Roman" w:cs="Times New Roman" w:eastAsia="Times New Roman" w:hAnsi="Times New Roman"/>
          <w:sz w:val="18"/>
          <w:szCs w:val="18"/>
          <w:color w:val="auto"/>
        </w:rPr>
        <w:t xml:space="preserve"> to draw down any portion of the Facility.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Funding Date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"Funding Date"</w:t>
      </w:r>
      <w:r>
        <w:rPr>
          <w:rFonts w:ascii="Times New Roman" w:cs="Times New Roman" w:eastAsia="Times New Roman" w:hAnsi="Times New Roman"/>
          <w:sz w:val="18"/>
          <w:szCs w:val="18"/>
          <w:color w:val="auto"/>
        </w:rPr>
        <w:t xml:space="preserve"> shall mean, in respect of each Drawdown, the date on which the relevant Drawdown Amount is funded by the Lender.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shall use the proceeds of the Facility for:</w:t>
      </w:r>
    </w:p>
    <w:p>
      <w:pPr>
        <w:spacing w:after="0" w:line="225" w:lineRule="exact"/>
        <w:rPr>
          <w:sz w:val="20"/>
          <w:szCs w:val="20"/>
          <w:color w:val="auto"/>
        </w:rPr>
      </w:pPr>
    </w:p>
    <w:p>
      <w:pPr>
        <w:ind w:left="760" w:hanging="320"/>
        <w:spacing w:after="0"/>
        <w:tabs>
          <w:tab w:leader="none" w:pos="760" w:val="left"/>
        </w:tabs>
        <w:numPr>
          <w:ilvl w:val="0"/>
          <w:numId w:val="9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working capital</w:t>
      </w:r>
    </w:p>
    <w:p>
      <w:pPr>
        <w:spacing w:after="0" w:line="224" w:lineRule="exact"/>
        <w:rPr>
          <w:rFonts w:ascii="Arial" w:cs="Arial" w:eastAsia="Arial" w:hAnsi="Arial"/>
          <w:sz w:val="18"/>
          <w:szCs w:val="18"/>
          <w:b w:val="1"/>
          <w:bCs w:val="1"/>
          <w:color w:val="auto"/>
        </w:rPr>
      </w:pPr>
    </w:p>
    <w:p>
      <w:pPr>
        <w:ind w:left="760" w:hanging="320"/>
        <w:spacing w:after="0"/>
        <w:tabs>
          <w:tab w:leader="none" w:pos="760" w:val="left"/>
        </w:tabs>
        <w:numPr>
          <w:ilvl w:val="0"/>
          <w:numId w:val="9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general corporate purposes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Origination Fee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execution of this Agreement, the Borrower shall pay to the Lender a non-refundable fee equal 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of the Maximum Facility Amount, such sum being $20,000</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320" w:top="792" w:right="1039" w:bottom="1440" w:gutter="0" w:footer="0" w:header="0"/>
        </w:sectPr>
      </w:pPr>
    </w:p>
    <w:bookmarkStart w:id="136" w:name="page137"/>
    <w:bookmarkEnd w:id="136"/>
    <w:p>
      <w:pPr>
        <w:ind w:right="7279" w:firstLine="8"/>
        <w:spacing w:after="0" w:line="534" w:lineRule="auto"/>
        <w:tabs>
          <w:tab w:leader="none" w:pos="337"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AND REPAYMENT 2.1 Interest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shall accrue on each Drawdown Amount from its respective Funding Date at: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15.0% per annum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calculated on a 365-day year basis.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Maturity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Drawdown Amount, together with accrued interest, shall be due and payable: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fifteen (15) months from its respective Funding Date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"Maturity 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Prepayment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may prepay:</w:t>
      </w:r>
    </w:p>
    <w:p>
      <w:pPr>
        <w:spacing w:after="0" w:line="225" w:lineRule="exact"/>
        <w:rPr>
          <w:sz w:val="20"/>
          <w:szCs w:val="20"/>
          <w:color w:val="auto"/>
        </w:rPr>
      </w:pPr>
    </w:p>
    <w:p>
      <w:pPr>
        <w:ind w:left="760" w:hanging="320"/>
        <w:spacing w:after="0"/>
        <w:tabs>
          <w:tab w:leader="none" w:pos="760" w:val="left"/>
        </w:tabs>
        <w:numPr>
          <w:ilvl w:val="0"/>
          <w:numId w:val="9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all or part of any outstanding amount</w:t>
      </w:r>
    </w:p>
    <w:p>
      <w:pPr>
        <w:spacing w:after="0" w:line="224" w:lineRule="exact"/>
        <w:rPr>
          <w:rFonts w:ascii="Arial" w:cs="Arial" w:eastAsia="Arial" w:hAnsi="Arial"/>
          <w:sz w:val="18"/>
          <w:szCs w:val="18"/>
          <w:b w:val="1"/>
          <w:bCs w:val="1"/>
          <w:color w:val="auto"/>
        </w:rPr>
      </w:pPr>
    </w:p>
    <w:p>
      <w:pPr>
        <w:ind w:left="760" w:hanging="320"/>
        <w:spacing w:after="0"/>
        <w:tabs>
          <w:tab w:leader="none" w:pos="760" w:val="left"/>
        </w:tabs>
        <w:numPr>
          <w:ilvl w:val="0"/>
          <w:numId w:val="9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any time</w:t>
      </w:r>
    </w:p>
    <w:p>
      <w:pPr>
        <w:spacing w:after="0" w:line="220" w:lineRule="exact"/>
        <w:rPr>
          <w:rFonts w:ascii="Arial" w:cs="Arial" w:eastAsia="Arial" w:hAnsi="Arial"/>
          <w:sz w:val="18"/>
          <w:szCs w:val="18"/>
          <w:b w:val="1"/>
          <w:bCs w:val="1"/>
          <w:color w:val="auto"/>
        </w:rPr>
      </w:pPr>
    </w:p>
    <w:p>
      <w:pPr>
        <w:ind w:left="760" w:hanging="320"/>
        <w:spacing w:after="0"/>
        <w:tabs>
          <w:tab w:leader="none" w:pos="760" w:val="left"/>
        </w:tabs>
        <w:numPr>
          <w:ilvl w:val="0"/>
          <w:numId w:val="9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without penalty</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shall be applied:</w:t>
      </w:r>
    </w:p>
    <w:p>
      <w:pPr>
        <w:spacing w:after="0" w:line="225" w:lineRule="exact"/>
        <w:rPr>
          <w:sz w:val="20"/>
          <w:szCs w:val="20"/>
          <w:color w:val="auto"/>
        </w:rPr>
      </w:pPr>
    </w:p>
    <w:p>
      <w:pPr>
        <w:ind w:left="760" w:hanging="320"/>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accrued interest</w:t>
      </w:r>
    </w:p>
    <w:p>
      <w:pPr>
        <w:spacing w:after="0" w:line="225" w:lineRule="exact"/>
        <w:rPr>
          <w:rFonts w:ascii="Times New Roman" w:cs="Times New Roman" w:eastAsia="Times New Roman" w:hAnsi="Times New Roman"/>
          <w:sz w:val="18"/>
          <w:szCs w:val="18"/>
          <w:color w:val="auto"/>
        </w:rPr>
      </w:pPr>
    </w:p>
    <w:p>
      <w:pPr>
        <w:ind w:left="760" w:hanging="320"/>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to principal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137" w:name="page138"/>
    <w:bookmarkEnd w:id="137"/>
    <w:p>
      <w:pPr>
        <w:ind w:right="6359" w:firstLine="8"/>
        <w:spacing w:after="0" w:line="534" w:lineRule="auto"/>
        <w:tabs>
          <w:tab w:leader="none" w:pos="337"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3.1 Borrower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represents and warrants that:</w:t>
      </w:r>
    </w:p>
    <w:p>
      <w:pPr>
        <w:spacing w:after="0" w:line="225" w:lineRule="exact"/>
        <w:rPr>
          <w:sz w:val="20"/>
          <w:szCs w:val="20"/>
          <w:color w:val="auto"/>
        </w:rPr>
      </w:pPr>
    </w:p>
    <w:p>
      <w:pPr>
        <w:ind w:left="760" w:hanging="320"/>
        <w:spacing w:after="0"/>
        <w:tabs>
          <w:tab w:leader="none" w:pos="760" w:val="left"/>
        </w:tabs>
        <w:numPr>
          <w:ilvl w:val="0"/>
          <w:numId w:val="9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it has full corporate authority to enter into this Agreement</w:t>
      </w:r>
    </w:p>
    <w:p>
      <w:pPr>
        <w:spacing w:after="0" w:line="224" w:lineRule="exact"/>
        <w:rPr>
          <w:rFonts w:ascii="Arial" w:cs="Arial" w:eastAsia="Arial" w:hAnsi="Arial"/>
          <w:sz w:val="18"/>
          <w:szCs w:val="18"/>
          <w:b w:val="1"/>
          <w:bCs w:val="1"/>
          <w:color w:val="auto"/>
        </w:rPr>
      </w:pPr>
    </w:p>
    <w:p>
      <w:pPr>
        <w:ind w:left="760" w:hanging="320"/>
        <w:spacing w:after="0"/>
        <w:tabs>
          <w:tab w:leader="none" w:pos="760" w:val="left"/>
        </w:tabs>
        <w:numPr>
          <w:ilvl w:val="0"/>
          <w:numId w:val="9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this Agreement constitutes a valid and binding obligation</w:t>
      </w:r>
    </w:p>
    <w:p>
      <w:pPr>
        <w:spacing w:after="0" w:line="224" w:lineRule="exact"/>
        <w:rPr>
          <w:rFonts w:ascii="Arial" w:cs="Arial" w:eastAsia="Arial" w:hAnsi="Arial"/>
          <w:sz w:val="18"/>
          <w:szCs w:val="18"/>
          <w:b w:val="1"/>
          <w:bCs w:val="1"/>
          <w:color w:val="auto"/>
        </w:rPr>
      </w:pPr>
    </w:p>
    <w:p>
      <w:pPr>
        <w:ind w:left="760" w:hanging="320"/>
        <w:spacing w:after="0"/>
        <w:tabs>
          <w:tab w:leader="none" w:pos="760" w:val="left"/>
        </w:tabs>
        <w:numPr>
          <w:ilvl w:val="0"/>
          <w:numId w:val="9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execution does not conflict with any law or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Lender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Lender represents and warrants that:</w:t>
      </w:r>
    </w:p>
    <w:p>
      <w:pPr>
        <w:spacing w:after="0" w:line="225" w:lineRule="exact"/>
        <w:rPr>
          <w:sz w:val="20"/>
          <w:szCs w:val="20"/>
          <w:color w:val="auto"/>
        </w:rPr>
      </w:pPr>
    </w:p>
    <w:p>
      <w:pPr>
        <w:ind w:left="760" w:hanging="320"/>
        <w:spacing w:after="0"/>
        <w:tabs>
          <w:tab w:leader="none" w:pos="760" w:val="left"/>
        </w:tabs>
        <w:numPr>
          <w:ilvl w:val="1"/>
          <w:numId w:val="9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it has sufficient financial and business experience</w:t>
      </w:r>
    </w:p>
    <w:p>
      <w:pPr>
        <w:spacing w:after="0" w:line="224" w:lineRule="exact"/>
        <w:rPr>
          <w:rFonts w:ascii="Arial" w:cs="Arial" w:eastAsia="Arial" w:hAnsi="Arial"/>
          <w:sz w:val="18"/>
          <w:szCs w:val="18"/>
          <w:b w:val="1"/>
          <w:bCs w:val="1"/>
          <w:color w:val="auto"/>
        </w:rPr>
      </w:pPr>
    </w:p>
    <w:p>
      <w:pPr>
        <w:ind w:left="760" w:hanging="320"/>
        <w:spacing w:after="0"/>
        <w:tabs>
          <w:tab w:leader="none" w:pos="760" w:val="left"/>
        </w:tabs>
        <w:numPr>
          <w:ilvl w:val="1"/>
          <w:numId w:val="9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it is capable of evaluating the risks</w:t>
      </w:r>
    </w:p>
    <w:p>
      <w:pPr>
        <w:spacing w:after="0" w:line="224" w:lineRule="exact"/>
        <w:rPr>
          <w:rFonts w:ascii="Arial" w:cs="Arial" w:eastAsia="Arial" w:hAnsi="Arial"/>
          <w:sz w:val="18"/>
          <w:szCs w:val="18"/>
          <w:b w:val="1"/>
          <w:bCs w:val="1"/>
          <w:color w:val="auto"/>
        </w:rPr>
      </w:pPr>
    </w:p>
    <w:p>
      <w:pPr>
        <w:ind w:left="760" w:hanging="320"/>
        <w:spacing w:after="0"/>
        <w:tabs>
          <w:tab w:leader="none" w:pos="760" w:val="left"/>
        </w:tabs>
        <w:numPr>
          <w:ilvl w:val="1"/>
          <w:numId w:val="9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it has conducted its own due diligence</w:t>
      </w: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Each of the following shall constitute an </w:t>
      </w:r>
      <w:r>
        <w:rPr>
          <w:rFonts w:ascii="Times New Roman" w:cs="Times New Roman" w:eastAsia="Times New Roman" w:hAnsi="Times New Roman"/>
          <w:sz w:val="18"/>
          <w:szCs w:val="18"/>
          <w:b w:val="1"/>
          <w:bCs w:val="1"/>
          <w:color w:val="auto"/>
        </w:rPr>
        <w:t>Event of Default:</w:t>
      </w:r>
    </w:p>
    <w:p>
      <w:pPr>
        <w:spacing w:after="0" w:line="229" w:lineRule="exact"/>
        <w:rPr>
          <w:sz w:val="20"/>
          <w:szCs w:val="20"/>
          <w:color w:val="auto"/>
        </w:rPr>
      </w:pPr>
    </w:p>
    <w:p>
      <w:pPr>
        <w:ind w:left="760" w:hanging="320"/>
        <w:spacing w:after="0"/>
        <w:tabs>
          <w:tab w:leader="none" w:pos="760" w:val="left"/>
        </w:tabs>
        <w:numPr>
          <w:ilvl w:val="0"/>
          <w:numId w:val="9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failure to pay principal or interest when due</w:t>
      </w:r>
    </w:p>
    <w:p>
      <w:pPr>
        <w:spacing w:after="0" w:line="224" w:lineRule="exact"/>
        <w:rPr>
          <w:rFonts w:ascii="Arial" w:cs="Arial" w:eastAsia="Arial" w:hAnsi="Arial"/>
          <w:sz w:val="18"/>
          <w:szCs w:val="18"/>
          <w:b w:val="1"/>
          <w:bCs w:val="1"/>
          <w:color w:val="auto"/>
        </w:rPr>
      </w:pPr>
    </w:p>
    <w:p>
      <w:pPr>
        <w:ind w:left="760" w:hanging="320"/>
        <w:spacing w:after="0"/>
        <w:tabs>
          <w:tab w:leader="none" w:pos="760" w:val="left"/>
        </w:tabs>
        <w:numPr>
          <w:ilvl w:val="0"/>
          <w:numId w:val="9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insolvency, bankruptcy or liquidation proceedings</w:t>
      </w:r>
    </w:p>
    <w:p>
      <w:pPr>
        <w:spacing w:after="0" w:line="224" w:lineRule="exact"/>
        <w:rPr>
          <w:rFonts w:ascii="Arial" w:cs="Arial" w:eastAsia="Arial" w:hAnsi="Arial"/>
          <w:sz w:val="18"/>
          <w:szCs w:val="18"/>
          <w:b w:val="1"/>
          <w:bCs w:val="1"/>
          <w:color w:val="auto"/>
        </w:rPr>
      </w:pPr>
    </w:p>
    <w:p>
      <w:pPr>
        <w:ind w:left="760" w:hanging="320"/>
        <w:spacing w:after="0"/>
        <w:tabs>
          <w:tab w:leader="none" w:pos="760" w:val="left"/>
        </w:tabs>
        <w:numPr>
          <w:ilvl w:val="0"/>
          <w:numId w:val="9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material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4.1 Remedies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an Event of Default:</w:t>
      </w:r>
    </w:p>
    <w:p>
      <w:pPr>
        <w:spacing w:after="0" w:line="225" w:lineRule="exact"/>
        <w:rPr>
          <w:sz w:val="20"/>
          <w:szCs w:val="20"/>
          <w:color w:val="auto"/>
        </w:rPr>
      </w:pPr>
    </w:p>
    <w:p>
      <w:pPr>
        <w:ind w:left="760" w:hanging="320"/>
        <w:spacing w:after="0"/>
        <w:tabs>
          <w:tab w:leader="none" w:pos="760" w:val="left"/>
        </w:tabs>
        <w:numPr>
          <w:ilvl w:val="0"/>
          <w:numId w:val="9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all outstanding amounts shall become immediately due and payable</w:t>
      </w:r>
    </w:p>
    <w:p>
      <w:pPr>
        <w:spacing w:after="0" w:line="224" w:lineRule="exact"/>
        <w:rPr>
          <w:rFonts w:ascii="Arial" w:cs="Arial" w:eastAsia="Arial" w:hAnsi="Arial"/>
          <w:sz w:val="18"/>
          <w:szCs w:val="18"/>
          <w:b w:val="1"/>
          <w:bCs w:val="1"/>
          <w:color w:val="auto"/>
        </w:rPr>
      </w:pPr>
    </w:p>
    <w:p>
      <w:pPr>
        <w:ind w:left="760" w:hanging="320"/>
        <w:spacing w:after="0"/>
        <w:tabs>
          <w:tab w:leader="none" w:pos="760" w:val="left"/>
        </w:tabs>
        <w:numPr>
          <w:ilvl w:val="0"/>
          <w:numId w:val="9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interest shall increase to:</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lesser of (i) 22.0% per annum or (ii) the maximum permitted by law</w:t>
      </w:r>
    </w:p>
    <w:p>
      <w:pPr>
        <w:spacing w:after="0" w:line="229" w:lineRule="exact"/>
        <w:rPr>
          <w:sz w:val="20"/>
          <w:szCs w:val="20"/>
          <w:color w:val="auto"/>
        </w:rPr>
      </w:pPr>
    </w:p>
    <w:p>
      <w:pPr>
        <w:ind w:left="760" w:hanging="320"/>
        <w:spacing w:after="0"/>
        <w:tabs>
          <w:tab w:leader="none" w:pos="760" w:val="left"/>
        </w:tabs>
        <w:numPr>
          <w:ilvl w:val="1"/>
          <w:numId w:val="9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Lender may exercise all available legal remedies</w:t>
      </w: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340" w:hanging="332"/>
        <w:spacing w:after="0"/>
        <w:tabs>
          <w:tab w:leader="none" w:pos="3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 No Obligation to Draw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Borrower shall have </w:t>
      </w:r>
      <w:r>
        <w:rPr>
          <w:rFonts w:ascii="Times New Roman" w:cs="Times New Roman" w:eastAsia="Times New Roman" w:hAnsi="Times New Roman"/>
          <w:sz w:val="18"/>
          <w:szCs w:val="18"/>
          <w:b w:val="1"/>
          <w:bCs w:val="1"/>
          <w:color w:val="auto"/>
        </w:rPr>
        <w:t>no obligation</w:t>
      </w:r>
      <w:r>
        <w:rPr>
          <w:rFonts w:ascii="Times New Roman" w:cs="Times New Roman" w:eastAsia="Times New Roman" w:hAnsi="Times New Roman"/>
          <w:sz w:val="18"/>
          <w:szCs w:val="18"/>
          <w:color w:val="auto"/>
        </w:rPr>
        <w:t xml:space="preserve"> to utilise the Facility.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 Assignment</w:t>
      </w:r>
    </w:p>
    <w:p>
      <w:pPr>
        <w:spacing w:after="0" w:line="256" w:lineRule="exact"/>
        <w:rPr>
          <w:sz w:val="20"/>
          <w:szCs w:val="20"/>
          <w:color w:val="auto"/>
        </w:rPr>
      </w:pPr>
    </w:p>
    <w:p>
      <w:pPr>
        <w:ind w:left="760" w:hanging="320"/>
        <w:spacing w:after="0"/>
        <w:tabs>
          <w:tab w:leader="none" w:pos="760" w:val="left"/>
        </w:tabs>
        <w:numPr>
          <w:ilvl w:val="0"/>
          <w:numId w:val="100"/>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Borrower: not assignable without prior written consent of the Lender</w:t>
      </w:r>
    </w:p>
    <w:p>
      <w:pPr>
        <w:spacing w:after="0" w:line="235" w:lineRule="exact"/>
        <w:rPr>
          <w:rFonts w:ascii="Arial" w:cs="Arial" w:eastAsia="Arial" w:hAnsi="Arial"/>
          <w:sz w:val="17"/>
          <w:szCs w:val="17"/>
          <w:b w:val="1"/>
          <w:bCs w:val="1"/>
          <w:color w:val="auto"/>
        </w:rPr>
      </w:pPr>
    </w:p>
    <w:p>
      <w:pPr>
        <w:ind w:left="760" w:hanging="320"/>
        <w:spacing w:after="0"/>
        <w:tabs>
          <w:tab w:leader="none" w:pos="760" w:val="left"/>
        </w:tabs>
        <w:numPr>
          <w:ilvl w:val="0"/>
          <w:numId w:val="10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Lender: may assign upon written notice to the Borrower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 Entire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constitutes the entire agreement between the Parties.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5.4 Amendments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amendment must be in writing and signed by both Parties.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19"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5.5 Governing Law</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shall be governed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laws of the State of New York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5.6 Notices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notices shall be in writing and delivered by:</w:t>
      </w:r>
    </w:p>
    <w:p>
      <w:pPr>
        <w:spacing w:after="0" w:line="225" w:lineRule="exact"/>
        <w:rPr>
          <w:sz w:val="20"/>
          <w:szCs w:val="20"/>
          <w:color w:val="auto"/>
        </w:rPr>
      </w:pPr>
    </w:p>
    <w:p>
      <w:pPr>
        <w:ind w:left="760" w:hanging="320"/>
        <w:spacing w:after="0"/>
        <w:tabs>
          <w:tab w:leader="none" w:pos="760" w:val="left"/>
        </w:tabs>
        <w:numPr>
          <w:ilvl w:val="0"/>
          <w:numId w:val="10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email</w:t>
      </w:r>
    </w:p>
    <w:p>
      <w:pPr>
        <w:spacing w:after="0" w:line="224" w:lineRule="exact"/>
        <w:rPr>
          <w:rFonts w:ascii="Arial" w:cs="Arial" w:eastAsia="Arial" w:hAnsi="Arial"/>
          <w:sz w:val="18"/>
          <w:szCs w:val="18"/>
          <w:b w:val="1"/>
          <w:bCs w:val="1"/>
          <w:color w:val="auto"/>
        </w:rPr>
      </w:pPr>
    </w:p>
    <w:p>
      <w:pPr>
        <w:ind w:left="760" w:hanging="320"/>
        <w:spacing w:after="0"/>
        <w:tabs>
          <w:tab w:leader="none" w:pos="760" w:val="left"/>
        </w:tabs>
        <w:numPr>
          <w:ilvl w:val="0"/>
          <w:numId w:val="10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courier</w:t>
      </w:r>
    </w:p>
    <w:p>
      <w:pPr>
        <w:spacing w:after="0" w:line="224" w:lineRule="exact"/>
        <w:rPr>
          <w:rFonts w:ascii="Arial" w:cs="Arial" w:eastAsia="Arial" w:hAnsi="Arial"/>
          <w:sz w:val="18"/>
          <w:szCs w:val="18"/>
          <w:b w:val="1"/>
          <w:bCs w:val="1"/>
          <w:color w:val="auto"/>
        </w:rPr>
      </w:pPr>
    </w:p>
    <w:p>
      <w:pPr>
        <w:ind w:left="760" w:hanging="320"/>
        <w:spacing w:after="0"/>
        <w:tabs>
          <w:tab w:leader="none" w:pos="760" w:val="left"/>
        </w:tabs>
        <w:numPr>
          <w:ilvl w:val="0"/>
          <w:numId w:val="10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registered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Vienna Capital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Vincent DeFilippo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Vincent DeFilippo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Davion Healthcare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Jack Kaye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Jack Kaye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19"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PROMISSORY NOTE EXAMPLE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Principal Amount: </w:t>
      </w:r>
      <w:r>
        <w:rPr>
          <w:rFonts w:ascii="Times New Roman" w:cs="Times New Roman" w:eastAsia="Times New Roman" w:hAnsi="Times New Roman"/>
          <w:sz w:val="18"/>
          <w:szCs w:val="18"/>
          <w:color w:val="auto"/>
        </w:rPr>
        <w:t>Up to US$2,000,000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Issuance Date: </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FOR VALUE RECEIVED, Davion Healthcare PLC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promises to pay to Vienna Capital Partners, LLC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xml:space="preserve"> the amounts drawn under the Facility together with interest.</w:t>
      </w:r>
    </w:p>
    <w:p>
      <w:pPr>
        <w:spacing w:after="0" w:line="371"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DRAW DOWNS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Amount may be advanced in multiple Drawdowns pursuant to the Loan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Drawdown:</w:t>
      </w:r>
    </w:p>
    <w:p>
      <w:pPr>
        <w:spacing w:after="0" w:line="248" w:lineRule="exact"/>
        <w:rPr>
          <w:sz w:val="20"/>
          <w:szCs w:val="20"/>
          <w:color w:val="auto"/>
        </w:rPr>
      </w:pPr>
    </w:p>
    <w:p>
      <w:pPr>
        <w:ind w:left="720" w:hanging="307"/>
        <w:spacing w:after="0"/>
        <w:tabs>
          <w:tab w:leader="none" w:pos="720" w:val="left"/>
        </w:tabs>
        <w:numPr>
          <w:ilvl w:val="1"/>
          <w:numId w:val="10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shall not be less than </w:t>
      </w:r>
      <w:r>
        <w:rPr>
          <w:rFonts w:ascii="Times New Roman" w:cs="Times New Roman" w:eastAsia="Times New Roman" w:hAnsi="Times New Roman"/>
          <w:sz w:val="18"/>
          <w:szCs w:val="18"/>
          <w:b w:val="1"/>
          <w:bCs w:val="1"/>
          <w:color w:val="auto"/>
        </w:rPr>
        <w:t>US$250,000</w:t>
      </w:r>
    </w:p>
    <w:p>
      <w:pPr>
        <w:spacing w:after="0" w:line="228" w:lineRule="exact"/>
        <w:rPr>
          <w:rFonts w:ascii="Arial" w:cs="Arial" w:eastAsia="Arial" w:hAnsi="Arial"/>
          <w:sz w:val="18"/>
          <w:szCs w:val="18"/>
          <w:b w:val="1"/>
          <w:bCs w:val="1"/>
          <w:color w:val="auto"/>
        </w:rPr>
      </w:pPr>
    </w:p>
    <w:p>
      <w:pPr>
        <w:ind w:left="720" w:hanging="307"/>
        <w:spacing w:after="0"/>
        <w:tabs>
          <w:tab w:leader="none" w:pos="720" w:val="left"/>
        </w:tabs>
        <w:numPr>
          <w:ilvl w:val="1"/>
          <w:numId w:val="10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shall form part of the aggregate Principal Amount</w:t>
      </w:r>
    </w:p>
    <w:p>
      <w:pPr>
        <w:spacing w:after="0" w:line="220" w:lineRule="exact"/>
        <w:rPr>
          <w:rFonts w:ascii="Arial" w:cs="Arial" w:eastAsia="Arial" w:hAnsi="Arial"/>
          <w:sz w:val="18"/>
          <w:szCs w:val="18"/>
          <w:b w:val="1"/>
          <w:bCs w:val="1"/>
          <w:color w:val="auto"/>
        </w:rPr>
      </w:pPr>
    </w:p>
    <w:p>
      <w:pPr>
        <w:ind w:left="720" w:hanging="307"/>
        <w:spacing w:after="0"/>
        <w:tabs>
          <w:tab w:leader="none" w:pos="720" w:val="left"/>
        </w:tabs>
        <w:numPr>
          <w:ilvl w:val="1"/>
          <w:numId w:val="10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shall not cause the total outstanding principal to exceed </w:t>
      </w:r>
      <w:r>
        <w:rPr>
          <w:rFonts w:ascii="Times New Roman" w:cs="Times New Roman" w:eastAsia="Times New Roman" w:hAnsi="Times New Roman"/>
          <w:sz w:val="18"/>
          <w:szCs w:val="18"/>
          <w:b w:val="1"/>
          <w:bCs w:val="1"/>
          <w:color w:val="auto"/>
        </w:rPr>
        <w:t>US$2,000,000</w:t>
      </w:r>
    </w:p>
    <w:p>
      <w:pPr>
        <w:spacing w:after="0" w:line="200" w:lineRule="exact"/>
        <w:rPr>
          <w:rFonts w:ascii="Arial" w:cs="Arial" w:eastAsia="Arial" w:hAnsi="Arial"/>
          <w:sz w:val="18"/>
          <w:szCs w:val="18"/>
          <w:b w:val="1"/>
          <w:bCs w:val="1"/>
          <w:color w:val="auto"/>
        </w:rPr>
      </w:pPr>
    </w:p>
    <w:p>
      <w:pPr>
        <w:spacing w:after="0" w:line="240" w:lineRule="exact"/>
        <w:rPr>
          <w:rFonts w:ascii="Arial" w:cs="Arial" w:eastAsia="Arial" w:hAnsi="Arial"/>
          <w:sz w:val="18"/>
          <w:szCs w:val="18"/>
          <w:b w:val="1"/>
          <w:bCs w:val="1"/>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shall accrue on each Drawdown Amount from its respective Funding Date at: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15.0% per annum</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MATURITY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Drawdown Amount, together with accrued interest, shall be due: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fifteen (15) months from its respective Funding Date</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Borrower may prepay:</w:t>
      </w:r>
    </w:p>
    <w:p>
      <w:pPr>
        <w:spacing w:after="0" w:line="225" w:lineRule="exact"/>
        <w:rPr>
          <w:sz w:val="20"/>
          <w:szCs w:val="20"/>
          <w:color w:val="auto"/>
        </w:rPr>
      </w:pPr>
    </w:p>
    <w:p>
      <w:pPr>
        <w:ind w:left="720" w:hanging="321"/>
        <w:spacing w:after="0"/>
        <w:tabs>
          <w:tab w:leader="none" w:pos="720" w:val="left"/>
        </w:tabs>
        <w:numPr>
          <w:ilvl w:val="0"/>
          <w:numId w:val="10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whole or in part</w:t>
      </w:r>
    </w:p>
    <w:p>
      <w:pPr>
        <w:spacing w:after="0" w:line="224" w:lineRule="exact"/>
        <w:rPr>
          <w:rFonts w:ascii="Arial" w:cs="Arial" w:eastAsia="Arial" w:hAnsi="Arial"/>
          <w:sz w:val="18"/>
          <w:szCs w:val="18"/>
          <w:b w:val="1"/>
          <w:bCs w:val="1"/>
          <w:color w:val="auto"/>
        </w:rPr>
      </w:pPr>
    </w:p>
    <w:p>
      <w:pPr>
        <w:ind w:left="720" w:hanging="321"/>
        <w:spacing w:after="0"/>
        <w:tabs>
          <w:tab w:leader="none" w:pos="720" w:val="left"/>
        </w:tabs>
        <w:numPr>
          <w:ilvl w:val="0"/>
          <w:numId w:val="10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any time</w:t>
      </w:r>
    </w:p>
    <w:p>
      <w:pPr>
        <w:spacing w:after="0" w:line="224" w:lineRule="exact"/>
        <w:rPr>
          <w:rFonts w:ascii="Arial" w:cs="Arial" w:eastAsia="Arial" w:hAnsi="Arial"/>
          <w:sz w:val="18"/>
          <w:szCs w:val="18"/>
          <w:b w:val="1"/>
          <w:bCs w:val="1"/>
          <w:color w:val="auto"/>
        </w:rPr>
      </w:pPr>
    </w:p>
    <w:p>
      <w:pPr>
        <w:ind w:left="720" w:hanging="321"/>
        <w:spacing w:after="0"/>
        <w:tabs>
          <w:tab w:leader="none" w:pos="720" w:val="left"/>
        </w:tabs>
        <w:numPr>
          <w:ilvl w:val="0"/>
          <w:numId w:val="10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without penalty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142" w:name="page143"/>
    <w:bookmarkEnd w:id="142"/>
    <w:p>
      <w:pPr>
        <w:ind w:left="340" w:hanging="332"/>
        <w:spacing w:after="0"/>
        <w:tabs>
          <w:tab w:leader="none" w:pos="34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 include:</w:t>
      </w:r>
    </w:p>
    <w:p>
      <w:pPr>
        <w:spacing w:after="0" w:line="252" w:lineRule="exact"/>
        <w:rPr>
          <w:sz w:val="20"/>
          <w:szCs w:val="20"/>
          <w:color w:val="auto"/>
        </w:rPr>
      </w:pPr>
    </w:p>
    <w:p>
      <w:pPr>
        <w:ind w:left="720" w:hanging="321"/>
        <w:spacing w:after="0"/>
        <w:tabs>
          <w:tab w:leader="none" w:pos="720" w:val="left"/>
        </w:tabs>
        <w:numPr>
          <w:ilvl w:val="1"/>
          <w:numId w:val="10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non-payment</w:t>
      </w:r>
    </w:p>
    <w:p>
      <w:pPr>
        <w:spacing w:after="0" w:line="224" w:lineRule="exact"/>
        <w:rPr>
          <w:rFonts w:ascii="Arial" w:cs="Arial" w:eastAsia="Arial" w:hAnsi="Arial"/>
          <w:sz w:val="18"/>
          <w:szCs w:val="18"/>
          <w:b w:val="1"/>
          <w:bCs w:val="1"/>
          <w:color w:val="auto"/>
        </w:rPr>
      </w:pPr>
    </w:p>
    <w:p>
      <w:pPr>
        <w:ind w:left="720" w:hanging="321"/>
        <w:spacing w:after="0"/>
        <w:tabs>
          <w:tab w:leader="none" w:pos="720" w:val="left"/>
        </w:tabs>
        <w:numPr>
          <w:ilvl w:val="1"/>
          <w:numId w:val="10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insolvency</w:t>
      </w:r>
    </w:p>
    <w:p>
      <w:pPr>
        <w:spacing w:after="0" w:line="224" w:lineRule="exact"/>
        <w:rPr>
          <w:rFonts w:ascii="Arial" w:cs="Arial" w:eastAsia="Arial" w:hAnsi="Arial"/>
          <w:sz w:val="18"/>
          <w:szCs w:val="18"/>
          <w:b w:val="1"/>
          <w:bCs w:val="1"/>
          <w:color w:val="auto"/>
        </w:rPr>
      </w:pPr>
    </w:p>
    <w:p>
      <w:pPr>
        <w:ind w:left="720" w:hanging="321"/>
        <w:spacing w:after="0"/>
        <w:tabs>
          <w:tab w:leader="none" w:pos="720" w:val="left"/>
        </w:tabs>
        <w:numPr>
          <w:ilvl w:val="1"/>
          <w:numId w:val="10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Material breach</w:t>
      </w: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340" w:hanging="332"/>
        <w:spacing w:after="0"/>
        <w:tabs>
          <w:tab w:leader="none" w:pos="3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 INTEREST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shall increase to the lesser of:</w:t>
      </w:r>
    </w:p>
    <w:p>
      <w:pPr>
        <w:spacing w:after="0" w:line="27" w:lineRule="exact"/>
        <w:rPr>
          <w:sz w:val="20"/>
          <w:szCs w:val="20"/>
          <w:color w:val="auto"/>
        </w:rPr>
      </w:pPr>
    </w:p>
    <w:p>
      <w:pPr>
        <w:ind w:left="240" w:hanging="232"/>
        <w:spacing w:after="0"/>
        <w:tabs>
          <w:tab w:leader="none" w:pos="2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22.0% per annum, </w:t>
      </w: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(ii)the maximum permitted by law</w:t>
      </w:r>
    </w:p>
    <w:p>
      <w:pPr>
        <w:spacing w:after="0" w:line="200" w:lineRule="exact"/>
        <w:rPr>
          <w:sz w:val="20"/>
          <w:szCs w:val="20"/>
          <w:color w:val="auto"/>
        </w:rPr>
      </w:pPr>
    </w:p>
    <w:p>
      <w:pPr>
        <w:spacing w:after="0" w:line="219" w:lineRule="exact"/>
        <w:rPr>
          <w:sz w:val="20"/>
          <w:szCs w:val="20"/>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Note shall be governed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York law</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DAVION HEALTHCARE PLC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168275</wp:posOffset>
            </wp:positionV>
            <wp:extent cx="2897505" cy="660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289750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580" w:type="dxa"/>
            <w:vAlign w:val="bottom"/>
            <w:gridSpan w:val="2"/>
          </w:tcPr>
          <w:p>
            <w:pPr>
              <w:ind w:left="3940"/>
              <w:spacing w:after="0"/>
              <w:rPr>
                <w:sz w:val="20"/>
                <w:szCs w:val="20"/>
                <w:color w:val="auto"/>
              </w:rPr>
            </w:pPr>
            <w:r>
              <w:rPr>
                <w:rFonts w:ascii="Times New Roman" w:cs="Times New Roman" w:eastAsia="Times New Roman" w:hAnsi="Times New Roman"/>
                <w:sz w:val="18"/>
                <w:szCs w:val="18"/>
                <w:color w:val="auto"/>
              </w:rPr>
              <w:t>LETTER OF ENGAGEMENT</w:t>
            </w:r>
          </w:p>
        </w:tc>
      </w:tr>
      <w:tr>
        <w:trPr>
          <w:trHeight w:val="234"/>
        </w:trPr>
        <w:tc>
          <w:tcPr>
            <w:tcW w:w="560" w:type="dxa"/>
            <w:vAlign w:val="bottom"/>
          </w:tcPr>
          <w:p>
            <w:pPr>
              <w:spacing w:after="0"/>
              <w:rPr>
                <w:sz w:val="20"/>
                <w:szCs w:val="20"/>
                <w:color w:val="auto"/>
              </w:rPr>
            </w:pPr>
          </w:p>
        </w:tc>
        <w:tc>
          <w:tcPr>
            <w:tcW w:w="6580" w:type="dxa"/>
            <w:vAlign w:val="bottom"/>
            <w:gridSpan w:val="2"/>
          </w:tcPr>
          <w:p>
            <w:pPr>
              <w:ind w:left="3540"/>
              <w:spacing w:after="0"/>
              <w:rPr>
                <w:sz w:val="20"/>
                <w:szCs w:val="20"/>
                <w:color w:val="auto"/>
              </w:rPr>
            </w:pPr>
            <w:r>
              <w:rPr>
                <w:rFonts w:ascii="Times New Roman" w:cs="Times New Roman" w:eastAsia="Times New Roman" w:hAnsi="Times New Roman"/>
                <w:sz w:val="18"/>
                <w:szCs w:val="18"/>
                <w:color w:val="auto"/>
                <w:w w:val="99"/>
              </w:rPr>
              <w:t>FOR US DIRECT LISTING ADVISORY</w:t>
            </w:r>
          </w:p>
        </w:tc>
      </w:tr>
      <w:tr>
        <w:trPr>
          <w:trHeight w:val="432"/>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06/17/2025</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6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Davion Healthcare Plc</w:t>
            </w:r>
          </w:p>
        </w:tc>
      </w:tr>
      <w:tr>
        <w:trPr>
          <w:trHeight w:val="216"/>
        </w:trPr>
        <w:tc>
          <w:tcPr>
            <w:tcW w:w="560" w:type="dxa"/>
            <w:vAlign w:val="bottom"/>
          </w:tcPr>
          <w:p>
            <w:pPr>
              <w:spacing w:after="0"/>
              <w:rPr>
                <w:sz w:val="18"/>
                <w:szCs w:val="18"/>
                <w:color w:val="auto"/>
              </w:rPr>
            </w:pPr>
          </w:p>
        </w:tc>
        <w:tc>
          <w:tcPr>
            <w:tcW w:w="6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Cube Building, Monahan Road,</w:t>
            </w:r>
          </w:p>
        </w:tc>
      </w:tr>
      <w:tr>
        <w:trPr>
          <w:trHeight w:val="212"/>
        </w:trPr>
        <w:tc>
          <w:tcPr>
            <w:tcW w:w="560" w:type="dxa"/>
            <w:vAlign w:val="bottom"/>
          </w:tcPr>
          <w:p>
            <w:pPr>
              <w:spacing w:after="0"/>
              <w:rPr>
                <w:sz w:val="18"/>
                <w:szCs w:val="18"/>
                <w:color w:val="auto"/>
              </w:rPr>
            </w:pPr>
          </w:p>
        </w:tc>
        <w:tc>
          <w:tcPr>
            <w:tcW w:w="6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Cork, T12 H1XY, Ireland</w:t>
            </w:r>
          </w:p>
        </w:tc>
      </w:tr>
      <w:tr>
        <w:trPr>
          <w:trHeight w:val="238"/>
        </w:trPr>
        <w:tc>
          <w:tcPr>
            <w:tcW w:w="560" w:type="dxa"/>
            <w:vAlign w:val="bottom"/>
          </w:tcPr>
          <w:p>
            <w:pPr>
              <w:spacing w:after="0"/>
              <w:rPr>
                <w:sz w:val="20"/>
                <w:szCs w:val="20"/>
                <w:color w:val="auto"/>
              </w:rPr>
            </w:pPr>
          </w:p>
        </w:tc>
        <w:tc>
          <w:tcPr>
            <w:tcW w:w="6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(Hereinafter to be referred to as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Client</w:t>
            </w:r>
            <w:r>
              <w:rPr>
                <w:rFonts w:ascii="Times New Roman" w:cs="Times New Roman" w:eastAsia="Times New Roman" w:hAnsi="Times New Roman"/>
                <w:sz w:val="18"/>
                <w:szCs w:val="18"/>
                <w:color w:val="auto"/>
              </w:rPr>
              <w:t>”)</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6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Revere Securities LC</w:t>
            </w:r>
          </w:p>
        </w:tc>
      </w:tr>
      <w:tr>
        <w:trPr>
          <w:trHeight w:val="216"/>
        </w:trPr>
        <w:tc>
          <w:tcPr>
            <w:tcW w:w="560" w:type="dxa"/>
            <w:vAlign w:val="bottom"/>
          </w:tcPr>
          <w:p>
            <w:pPr>
              <w:spacing w:after="0"/>
              <w:rPr>
                <w:sz w:val="18"/>
                <w:szCs w:val="18"/>
                <w:color w:val="auto"/>
              </w:rPr>
            </w:pPr>
          </w:p>
        </w:tc>
        <w:tc>
          <w:tcPr>
            <w:tcW w:w="6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560 Lexington Ave, Suite 16B</w:t>
            </w:r>
          </w:p>
        </w:tc>
      </w:tr>
      <w:tr>
        <w:trPr>
          <w:trHeight w:val="234"/>
        </w:trPr>
        <w:tc>
          <w:tcPr>
            <w:tcW w:w="560" w:type="dxa"/>
            <w:vAlign w:val="bottom"/>
          </w:tcPr>
          <w:p>
            <w:pPr>
              <w:spacing w:after="0"/>
              <w:rPr>
                <w:sz w:val="20"/>
                <w:szCs w:val="20"/>
                <w:color w:val="auto"/>
              </w:rPr>
            </w:pPr>
          </w:p>
        </w:tc>
        <w:tc>
          <w:tcPr>
            <w:tcW w:w="6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(Hereinafter to be referred to as the “Direct Listing Advisor”, or “Revere”)</w:t>
            </w:r>
          </w:p>
        </w:tc>
      </w:tr>
      <w:tr>
        <w:trPr>
          <w:trHeight w:val="608"/>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ENGAGEMENT OF US DIRECT LISTING ADVISORY SERVICES</w:t>
            </w:r>
          </w:p>
        </w:tc>
      </w:tr>
      <w:tr>
        <w:trPr>
          <w:trHeight w:val="20"/>
        </w:trPr>
        <w:tc>
          <w:tcPr>
            <w:tcW w:w="560" w:type="dxa"/>
            <w:vAlign w:val="bottom"/>
            <w:shd w:val="clear" w:color="auto" w:fill="000000"/>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Letter of Engagement sets forth the terms and conditions upon which the Company hereby agrees to engage the Direct Listing Advisor as i) the Company’s US NASDAQ stock market direct listing incubation and sponsorship advisor and ii) the Company’s public listing consultant, in respect of the scope of subject matters stated herein (hereinafter to be referred to as “</w:t>
      </w:r>
      <w:r>
        <w:rPr>
          <w:rFonts w:ascii="Times New Roman" w:cs="Times New Roman" w:eastAsia="Times New Roman" w:hAnsi="Times New Roman"/>
          <w:sz w:val="18"/>
          <w:szCs w:val="18"/>
          <w:b w:val="1"/>
          <w:bCs w:val="1"/>
          <w:color w:val="auto"/>
        </w:rPr>
        <w:t>Advisory Mandate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8200" w:firstLine="8"/>
        <w:spacing w:after="0" w:line="500" w:lineRule="auto"/>
        <w:tabs>
          <w:tab w:leader="none" w:pos="4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THE ENGAGEMENT 1.1 Strategic Partnership and Network</w:t>
      </w:r>
    </w:p>
    <w:p>
      <w:pPr>
        <w:spacing w:after="0" w:line="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Direct Listing Advisor will leverage their network and expertise to provide Advisory Mandate services for the Company (including its listing entity and group companies) by being the lead advisor coordinating with legal counsel, auditor and any other relevant professional institutions required to complete direct listing of the Company on NASDAQ (“</w:t>
      </w:r>
      <w:r>
        <w:rPr>
          <w:rFonts w:ascii="Times New Roman" w:cs="Times New Roman" w:eastAsia="Times New Roman" w:hAnsi="Times New Roman"/>
          <w:sz w:val="18"/>
          <w:szCs w:val="18"/>
          <w:b w:val="1"/>
          <w:bCs w:val="1"/>
          <w:color w:val="auto"/>
        </w:rPr>
        <w:t>Direct Listing</w:t>
      </w:r>
      <w:r>
        <w:rPr>
          <w:rFonts w:ascii="Times New Roman" w:cs="Times New Roman" w:eastAsia="Times New Roman" w:hAnsi="Times New Roman"/>
          <w:sz w:val="18"/>
          <w:szCs w:val="18"/>
          <w:color w:val="auto"/>
        </w:rPr>
        <w:t>”). Also, the Direct Listing Advisor will resolve issues and questions arising from the aforementioned professional parties.</w:t>
      </w:r>
    </w:p>
    <w:p>
      <w:pPr>
        <w:spacing w:after="0" w:line="18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Information &amp; Material</w:t>
      </w:r>
    </w:p>
    <w:p>
      <w:pPr>
        <w:spacing w:after="0" w:line="225"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The Direct Listing Advisor will be responsible for instructing, compiling and coordinating documents for the Company as required, the Direct Listing Advisor will also prepare and schedule roadshows for the Company and sponsor investors, and assist the sponsors by preparing an analysis of the target landscape in order to reach potential investors, funders, partners or institutions and any professional firms interested or involved in the Direct Listing.</w:t>
      </w:r>
    </w:p>
    <w:p>
      <w:pPr>
        <w:spacing w:after="0" w:line="15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Transaction Management</w:t>
      </w:r>
    </w:p>
    <w:p>
      <w:pPr>
        <w:spacing w:after="0" w:line="225" w:lineRule="exact"/>
        <w:rPr>
          <w:sz w:val="20"/>
          <w:szCs w:val="20"/>
          <w:color w:val="auto"/>
        </w:rPr>
      </w:pPr>
    </w:p>
    <w:p>
      <w:pPr>
        <w:ind w:right="40" w:firstLine="8"/>
        <w:spacing w:after="0" w:line="258" w:lineRule="auto"/>
        <w:tabs>
          <w:tab w:leader="none" w:pos="314" w:val="left"/>
        </w:tabs>
        <w:numPr>
          <w:ilvl w:val="0"/>
          <w:numId w:val="11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The Direct Listing Advisor will help the Company to build up and maintain relationship with all the requisite professional firms, potential investors and institutions worldwide including but not limited to venture capital firms, funds, banks, multi-lateral/bi-lateral or development agencies, family offices, and publicly traded companies with corresponding investment criteria in the industry. The Direct Listing Advisor can manage the signing of non-disclosure agreements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drafting of the information memorandum, and sending the same to the shortlisted potential professional service providers and/or potential investors showing interest.</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4" w:name="page145"/>
    <w:bookmarkEnd w:id="144"/>
    <w:p>
      <w:pPr>
        <w:ind w:left="660" w:hanging="652"/>
        <w:spacing w:after="0"/>
        <w:tabs>
          <w:tab w:leader="none" w:pos="660" w:val="left"/>
        </w:tabs>
        <w:numPr>
          <w:ilvl w:val="0"/>
          <w:numId w:val="11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The Direct Listing Advisor should be responsible for the below duties:</w:t>
      </w:r>
    </w:p>
    <w:p>
      <w:pPr>
        <w:spacing w:after="0" w:line="225" w:lineRule="exact"/>
        <w:rPr>
          <w:rFonts w:ascii="Wingdings" w:cs="Wingdings" w:eastAsia="Wingdings" w:hAnsi="Wingdings"/>
          <w:sz w:val="18"/>
          <w:szCs w:val="18"/>
          <w:b w:val="1"/>
          <w:bCs w:val="1"/>
          <w:color w:val="auto"/>
        </w:rPr>
      </w:pPr>
    </w:p>
    <w:p>
      <w:pPr>
        <w:ind w:left="980" w:hanging="324"/>
        <w:spacing w:after="0"/>
        <w:tabs>
          <w:tab w:leader="none" w:pos="980" w:val="left"/>
        </w:tabs>
        <w:numPr>
          <w:ilvl w:val="1"/>
          <w:numId w:val="11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Coordinating with other professional parties to complete the whole Direct Listing exercise;</w:t>
      </w:r>
    </w:p>
    <w:p>
      <w:pPr>
        <w:spacing w:after="0" w:line="27" w:lineRule="exact"/>
        <w:rPr>
          <w:rFonts w:ascii="Wingdings" w:cs="Wingdings" w:eastAsia="Wingdings" w:hAnsi="Wingdings"/>
          <w:sz w:val="18"/>
          <w:szCs w:val="18"/>
          <w:b w:val="1"/>
          <w:bCs w:val="1"/>
          <w:color w:val="auto"/>
        </w:rPr>
      </w:pPr>
    </w:p>
    <w:p>
      <w:pPr>
        <w:ind w:left="980" w:hanging="324"/>
        <w:spacing w:after="0"/>
        <w:tabs>
          <w:tab w:leader="none" w:pos="980" w:val="left"/>
        </w:tabs>
        <w:numPr>
          <w:ilvl w:val="1"/>
          <w:numId w:val="11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Promptly report the progress to the Company;</w:t>
      </w:r>
    </w:p>
    <w:p>
      <w:pPr>
        <w:spacing w:after="0" w:line="9" w:lineRule="exact"/>
        <w:rPr>
          <w:rFonts w:ascii="Wingdings" w:cs="Wingdings" w:eastAsia="Wingdings" w:hAnsi="Wingdings"/>
          <w:sz w:val="18"/>
          <w:szCs w:val="18"/>
          <w:b w:val="1"/>
          <w:bCs w:val="1"/>
          <w:color w:val="auto"/>
        </w:rPr>
      </w:pPr>
    </w:p>
    <w:p>
      <w:pPr>
        <w:ind w:left="980" w:hanging="324"/>
        <w:spacing w:after="0"/>
        <w:tabs>
          <w:tab w:leader="none" w:pos="980" w:val="left"/>
        </w:tabs>
        <w:numPr>
          <w:ilvl w:val="1"/>
          <w:numId w:val="11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Formulating the plan and coordinating the share offer and fund-raising arrangement;</w:t>
      </w:r>
    </w:p>
    <w:p>
      <w:pPr>
        <w:spacing w:after="0" w:line="9" w:lineRule="exact"/>
        <w:rPr>
          <w:rFonts w:ascii="Wingdings" w:cs="Wingdings" w:eastAsia="Wingdings" w:hAnsi="Wingdings"/>
          <w:sz w:val="18"/>
          <w:szCs w:val="18"/>
          <w:b w:val="1"/>
          <w:bCs w:val="1"/>
          <w:color w:val="auto"/>
        </w:rPr>
      </w:pPr>
    </w:p>
    <w:p>
      <w:pPr>
        <w:ind w:left="980" w:hanging="324"/>
        <w:spacing w:after="0"/>
        <w:tabs>
          <w:tab w:leader="none" w:pos="980" w:val="left"/>
        </w:tabs>
        <w:numPr>
          <w:ilvl w:val="1"/>
          <w:numId w:val="11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Providing updates and continuous professional guidance on listing rules and other related regulatory requirements.</w:t>
      </w:r>
    </w:p>
    <w:p>
      <w:pPr>
        <w:spacing w:after="0" w:line="9" w:lineRule="exact"/>
        <w:rPr>
          <w:rFonts w:ascii="Wingdings" w:cs="Wingdings" w:eastAsia="Wingdings" w:hAnsi="Wingdings"/>
          <w:sz w:val="18"/>
          <w:szCs w:val="18"/>
          <w:b w:val="1"/>
          <w:bCs w:val="1"/>
          <w:color w:val="auto"/>
        </w:rPr>
      </w:pPr>
    </w:p>
    <w:p>
      <w:pPr>
        <w:ind w:left="980" w:hanging="324"/>
        <w:spacing w:after="0"/>
        <w:tabs>
          <w:tab w:leader="none" w:pos="980" w:val="left"/>
        </w:tabs>
        <w:numPr>
          <w:ilvl w:val="1"/>
          <w:numId w:val="11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The signing of Non-Binding Offer(s) (indicative offer/term sheet/expression of interest).</w:t>
      </w:r>
    </w:p>
    <w:p>
      <w:pPr>
        <w:spacing w:after="0" w:line="2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Closing Phase Assistance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 Listing Advisor will handle the following tasks for the Company:</w:t>
      </w:r>
    </w:p>
    <w:p>
      <w:pPr>
        <w:spacing w:after="0" w:line="225" w:lineRule="exact"/>
        <w:rPr>
          <w:sz w:val="20"/>
          <w:szCs w:val="20"/>
          <w:color w:val="auto"/>
        </w:rPr>
      </w:pPr>
    </w:p>
    <w:p>
      <w:pPr>
        <w:ind w:left="660" w:hanging="652"/>
        <w:spacing w:after="0"/>
        <w:tabs>
          <w:tab w:leader="none" w:pos="660" w:val="left"/>
        </w:tabs>
        <w:numPr>
          <w:ilvl w:val="0"/>
          <w:numId w:val="11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Optimize and organize the due diligence process; and</w:t>
      </w:r>
    </w:p>
    <w:p>
      <w:pPr>
        <w:spacing w:after="0" w:line="225" w:lineRule="exact"/>
        <w:rPr>
          <w:rFonts w:ascii="Wingdings" w:cs="Wingdings" w:eastAsia="Wingdings" w:hAnsi="Wingdings"/>
          <w:sz w:val="18"/>
          <w:szCs w:val="18"/>
          <w:b w:val="1"/>
          <w:bCs w:val="1"/>
          <w:color w:val="auto"/>
        </w:rPr>
      </w:pPr>
    </w:p>
    <w:p>
      <w:pPr>
        <w:ind w:left="660" w:hanging="652"/>
        <w:spacing w:after="0"/>
        <w:tabs>
          <w:tab w:leader="none" w:pos="660" w:val="left"/>
        </w:tabs>
        <w:numPr>
          <w:ilvl w:val="0"/>
          <w:numId w:val="11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Follow up and coordinate on the Direct Listing until it is completed..</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By accepting this Letter of Engagement, the Company agrees to supply the Direct Listing Advisor, upon its request, of representation letters that, among other things, will confirm their responsibility for the disclosed information and for the underlying assumptions used in the connection with any projections furnished, the appropriateness of any financial statements that they have prepared and their active decision participation in this Engagement.</w:t>
      </w:r>
    </w:p>
    <w:p>
      <w:pPr>
        <w:spacing w:after="0" w:line="176" w:lineRule="exact"/>
        <w:rPr>
          <w:sz w:val="20"/>
          <w:szCs w:val="20"/>
          <w:color w:val="auto"/>
        </w:rPr>
      </w:pPr>
    </w:p>
    <w:p>
      <w:pPr>
        <w:ind w:left="740" w:hanging="732"/>
        <w:spacing w:after="0"/>
        <w:tabs>
          <w:tab w:leader="none" w:pos="7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ENGAGEMENT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the Engagement shall last for 12 months starting from the date on which all parties execute this Letter of Engagement.</w:t>
      </w:r>
    </w:p>
    <w:p>
      <w:pPr>
        <w:spacing w:after="0" w:line="225" w:lineRule="exact"/>
        <w:rPr>
          <w:sz w:val="20"/>
          <w:szCs w:val="20"/>
          <w:color w:val="auto"/>
        </w:rPr>
      </w:pPr>
    </w:p>
    <w:p>
      <w:pPr>
        <w:ind w:left="740" w:hanging="732"/>
        <w:spacing w:after="0"/>
        <w:tabs>
          <w:tab w:leader="none" w:pos="7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PAYMENT TERMS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professional fees and remuneration associated with the Direct Listing Advisor in relation to the Advisory Mandate and payable to the Direct Listing Advisor are detailed below:</w:t>
      </w:r>
    </w:p>
    <w:p>
      <w:pPr>
        <w:spacing w:after="0" w:line="16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Advisory Fee for Direct Listing:</w:t>
      </w:r>
    </w:p>
    <w:p>
      <w:pPr>
        <w:spacing w:after="0" w:line="225" w:lineRule="exact"/>
        <w:rPr>
          <w:sz w:val="20"/>
          <w:szCs w:val="20"/>
          <w:color w:val="auto"/>
        </w:rPr>
      </w:pPr>
    </w:p>
    <w:p>
      <w:pPr>
        <w:ind w:right="20" w:firstLine="8"/>
        <w:spacing w:after="0" w:line="282" w:lineRule="auto"/>
        <w:tabs>
          <w:tab w:leader="none" w:pos="7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Fee – Total 0.5% Equity of the Company at the time of Direct Listing, to be included in the next resale registration statement or pursuant to Rule 144, whichever occurs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145" w:name="page146"/>
    <w:bookmarkEnd w:id="145"/>
    <w:p>
      <w:pPr>
        <w:ind w:left="700" w:hanging="692"/>
        <w:spacing w:after="0"/>
        <w:tabs>
          <w:tab w:leader="none" w:pos="7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Fee – USD 200,000 due upon successful Direct Listing of the Company. 3.2 Other Payment Terms</w:t>
      </w:r>
    </w:p>
    <w:p>
      <w:pPr>
        <w:spacing w:after="0" w:line="225" w:lineRule="exact"/>
        <w:rPr>
          <w:sz w:val="20"/>
          <w:szCs w:val="20"/>
          <w:color w:val="auto"/>
        </w:rPr>
      </w:pPr>
    </w:p>
    <w:p>
      <w:pPr>
        <w:ind w:left="420" w:hanging="412"/>
        <w:spacing w:after="0"/>
        <w:tabs>
          <w:tab w:leader="none" w:pos="4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whether in equity or cash, shall be deemed earned upon their respective due dates and shall be non-refundable.</w:t>
      </w:r>
    </w:p>
    <w:p>
      <w:pPr>
        <w:spacing w:after="0" w:line="225" w:lineRule="exact"/>
        <w:rPr>
          <w:rFonts w:ascii="Times New Roman" w:cs="Times New Roman" w:eastAsia="Times New Roman" w:hAnsi="Times New Roman"/>
          <w:sz w:val="18"/>
          <w:szCs w:val="18"/>
          <w:color w:val="auto"/>
        </w:rPr>
      </w:pPr>
    </w:p>
    <w:p>
      <w:pPr>
        <w:ind w:right="160" w:firstLine="8"/>
        <w:spacing w:after="0" w:line="282" w:lineRule="auto"/>
        <w:tabs>
          <w:tab w:leader="none" w:pos="79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rights of the Advisory Fee, whether in equity or cash, may be assigned to a third party at the discretion of Direct Listing Advisor, subject to prior written notice to the Company. The Company shall acknowledge and honor such assignment accordingly.</w:t>
      </w:r>
    </w:p>
    <w:p>
      <w:pPr>
        <w:spacing w:after="0" w:line="161" w:lineRule="exact"/>
        <w:rPr>
          <w:rFonts w:ascii="Times New Roman" w:cs="Times New Roman" w:eastAsia="Times New Roman" w:hAnsi="Times New Roman"/>
          <w:sz w:val="18"/>
          <w:szCs w:val="18"/>
          <w:color w:val="auto"/>
        </w:rPr>
      </w:pPr>
    </w:p>
    <w:p>
      <w:pPr>
        <w:ind w:right="180" w:firstLine="8"/>
        <w:spacing w:after="0" w:line="282" w:lineRule="auto"/>
        <w:tabs>
          <w:tab w:leader="none" w:pos="79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the Advisory Fee, whether in cash or equity, shall be made by the Company to the Direct Listing Advisor within fourteen (14) days of the occurrence of the respective event, in accordance with this Letter of Engagement.</w:t>
      </w:r>
    </w:p>
    <w:p>
      <w:pPr>
        <w:spacing w:after="0" w:line="161" w:lineRule="exact"/>
        <w:rPr>
          <w:rFonts w:ascii="Times New Roman" w:cs="Times New Roman" w:eastAsia="Times New Roman" w:hAnsi="Times New Roman"/>
          <w:sz w:val="18"/>
          <w:szCs w:val="18"/>
          <w:color w:val="auto"/>
        </w:rPr>
      </w:pPr>
    </w:p>
    <w:p>
      <w:pPr>
        <w:ind w:right="40" w:firstLine="8"/>
        <w:spacing w:after="0" w:line="282" w:lineRule="auto"/>
        <w:tabs>
          <w:tab w:leader="none" w:pos="78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potential bank charges related to the remitting bank for wire transfers shall be borne by the Company. The Direct Listing Advisor will accept payments in United States Dollars (“USD”).</w:t>
      </w:r>
    </w:p>
    <w:p>
      <w:pPr>
        <w:spacing w:after="0" w:line="16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Reimbursable Expenses</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From time to time, and during the Term, the Direct Listing Advisor and their management team may incur out-of-pocket expenses, which include, but are not limited to, the following out-of-pocket expenses:</w:t>
      </w:r>
    </w:p>
    <w:p>
      <w:pPr>
        <w:spacing w:after="0" w:line="162" w:lineRule="exact"/>
        <w:rPr>
          <w:sz w:val="20"/>
          <w:szCs w:val="20"/>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Travels, such as transportation tickets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Lodging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Subsistence allowance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Printing and phone bills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relations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representation fee for the direct listing advisor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reimbursable expense is capped at $100,000.</w:t>
      </w:r>
    </w:p>
    <w:p>
      <w:pPr>
        <w:spacing w:after="0" w:line="225" w:lineRule="exact"/>
        <w:rPr>
          <w:sz w:val="20"/>
          <w:szCs w:val="20"/>
          <w:color w:val="auto"/>
        </w:rPr>
      </w:pPr>
    </w:p>
    <w:p>
      <w:pPr>
        <w:ind w:right="7720" w:firstLine="8"/>
        <w:spacing w:after="0" w:line="500" w:lineRule="auto"/>
        <w:tabs>
          <w:tab w:leader="none" w:pos="4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ENGAGEMENT TERMS 4.1 Indemnification</w:t>
      </w:r>
    </w:p>
    <w:p>
      <w:pPr>
        <w:spacing w:after="0" w:line="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hereby indemnifies and holds the Direct Listing Advisor and their partners, principals, agents, consultants, and employees (the “Indemnified Party(ies)”) harmless from and against any losses, claims, damages, or liabilities (or actions in respect thereof) to which an Indemnified Party may become subject as a result of or in connection with the Direct Listing Advisor rendering services hereunder unless it is finally judicially determined that such losses, claims, damages, or liabilities were caused by fraud or willful misconduct or negligence on the part of that Indemnified Party in performing its obligations under this Letter of Engagement.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indemnification shall be in relation to any losses incurred by the Indemnified party resulting from any misrepresentation by the Company. In the event that full indemnification is not available to the Indemnified Parties as a matter of law, then their aggregate liability shall be limited to the total fees collected for the services rendered and, in any event, shall be limited by a final adjudication of their relative degree of fault and benefit received.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6" w:name="page147"/>
    <w:bookmarkEnd w:id="146"/>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Right of First Refusal</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from the date hereof until the 3-month anniversary following consummation of each Offering, the Company or any of its subsidiaries (a) decides to finance or refinance any indebtedness using a manager or agent, Revere (or any affiliate designated by Revere) shall have the right to act as sole book-runner, sole manager, sole placement agent or sole agent with respect to such financing or refinancing; or (c) decides to raise funds by means of a public offering (including through an at-the-market facility) or a private placement or any other capital-raising financing of equity, equity-linked or debt securities using an underwriter or placement agent, Revere (or any affiliate designated by Revere) shall have the right to act as sole book-running manager, sole underwriter or sole placement agent for such financing. If Revere or one of its affiliates decides to accept any such engagement, the agreement governing such engagement will contain, among other things, provisions for customary fees for transactions of similar size and nature and the provisions of this Agreement, including indemnification, which are appropriate to such a transaction.</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Marketing</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hereby grants the Direct Listing Advisor permission to use its name, deal information, and any other marketing materials as deemed fit by the Direct Listing Advisor. Nevertheless, the Direct Listing Advisor is prohibited from sharing the Company’s confidential information with the public and may remove specifics that the Company reasonably requests to keep confidential.</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Confidentiality</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All information of this Letter of Engagement, as well as all information provided by the Company to the Direct Listing Advisor, or that may arise from the services provided during the existence of this Letter of Engagement and after its termination, shall be maintained confidential. Any NDA signed between the parties hereto shall serve as a complement to this sub-paragraph.</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Disclosure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hereby agrees and confirms that all supporting documents provided to the Direct Listing Advisor are correct and compliant with the applicable jurisdictions. The Direct Listing Advisor shall not be responsible for any losses caused by the inaccuracy, fraudulence, and/or lack of supporting documents provided by the Company. Both parties hereby confirm that in the event of any conflicts arising involving the Company and the Direct Listing Advisor, including their respective partners, principals, agents, consultants, directors, and employees, each party shall take the initiative to inform the other party. The Direct Listing Advisor shall not be held responsible for any legal liabilities or losses arising from the non-disclosure of conflicts of interest by any personnel associated with either party.</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Assignment And Successors Bound</w:t>
      </w:r>
    </w:p>
    <w:p>
      <w:pPr>
        <w:spacing w:after="0" w:line="22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Direct Listing Advisor may elect to assign and/or novate this Letter of Engagement and Advisory Mandate (including its rights, benefits, entitlements, obligations and liabilities) to a sister/related company of Direct Listing Advisor. Except as otherwise expressly provided in this Agreement, none of the Parties shall assign or transfer the whole or any part of this Agreement or any rights under this Agreement without the prior written consent of the other Party. However, this Agreement shall be binding on the successors in title and permitted assigns of the Parties hereto.</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5) GOVERNING LAW AND DISPUTE RESOLUTION</w:t>
      </w:r>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Engagement Letter will be deemed to have been made and delivered in the State of New York and both the provisions of this Engagement Letter and the transaction(s) contemplated hereby and by the Underwriting Agreement will be governed as to validity, interpretation, construction, effect and in all other respects by the internal laws of the State of New York, without regard to the conflict of laws principles thereof. The Company and Revere agree that in the event a dispute arises between Revere and the Company or any of its officers, directors, employees, agents, attorneys or accountants, arising out of, in connection with, or as a result of the execution of this Engagement Letter, or as a result of any transaction(s) contemplated hereby, such dispute shall be resolved through arbitration rather than litigation.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NOTICES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All notices and other communications shall be in writing and shall be deemed given if delivered by hand or sent by registered mail or delivered by an express courier (with confirmation) to the parties at the following addressed set forth herein below:</w:t>
      </w:r>
    </w:p>
    <w:p>
      <w:pPr>
        <w:sectPr>
          <w:pgSz w:w="11900" w:h="16838" w:orient="portrait"/>
          <w:cols w:equalWidth="0" w:num="1">
            <w:col w:w="10820"/>
          </w:cols>
          <w:pgMar w:left="320" w:top="796" w:right="75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Davion Healthcare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Cube Building, Monahan Road,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Cork, T12 H1XY, Ireland</w:t>
      </w:r>
    </w:p>
    <w:p>
      <w:pPr>
        <w:spacing w:after="0" w:line="200" w:lineRule="exact"/>
        <w:rPr>
          <w:sz w:val="20"/>
          <w:szCs w:val="20"/>
          <w:color w:val="auto"/>
        </w:rPr>
      </w:pPr>
    </w:p>
    <w:p>
      <w:pPr>
        <w:sectPr>
          <w:pgSz w:w="11900" w:h="16838" w:orient="portrait"/>
          <w:cols w:equalWidth="0" w:num="2">
            <w:col w:w="4900" w:space="720"/>
            <w:col w:w="5200"/>
          </w:cols>
          <w:pgMar w:left="320" w:top="796" w:right="759" w:bottom="1440" w:gutter="0" w:footer="0" w:header="0"/>
          <w:type w:val="continuous"/>
        </w:sect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Listing Advisor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Bill Moreno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Revere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560 Lexington Ave.,Suite 16B</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0022</w:t>
      </w:r>
    </w:p>
    <w:p>
      <w:pPr>
        <w:spacing w:after="0" w:line="415" w:lineRule="exact"/>
        <w:rPr>
          <w:sz w:val="20"/>
          <w:szCs w:val="20"/>
          <w:color w:val="auto"/>
        </w:rPr>
      </w:pPr>
    </w:p>
    <w:p>
      <w:pPr>
        <w:sectPr>
          <w:pgSz w:w="11900" w:h="16838" w:orient="portrait"/>
          <w:cols w:equalWidth="0" w:num="2">
            <w:col w:w="4900" w:space="720"/>
            <w:col w:w="5200"/>
          </w:cols>
          <w:pgMar w:left="320" w:top="796" w:right="75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Signed by: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Jack Kaye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Jack Kaye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rPr>
          <w:sz w:val="20"/>
          <w:szCs w:val="20"/>
          <w:color w:val="auto"/>
        </w:rPr>
      </w:pPr>
      <w:r>
        <w:rPr>
          <w:rFonts w:ascii="Times New Roman" w:cs="Times New Roman" w:eastAsia="Times New Roman" w:hAnsi="Times New Roman"/>
          <w:sz w:val="22"/>
          <w:szCs w:val="22"/>
          <w:color w:val="auto"/>
        </w:rPr>
        <w:t>Davion Healthcare Plc</w:t>
      </w:r>
    </w:p>
    <w:p>
      <w:pPr>
        <w:spacing w:after="0" w:line="200" w:lineRule="exact"/>
        <w:rPr>
          <w:sz w:val="20"/>
          <w:szCs w:val="20"/>
          <w:color w:val="auto"/>
        </w:rPr>
      </w:pPr>
    </w:p>
    <w:p>
      <w:pPr>
        <w:spacing w:after="0" w:line="36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20"/>
          </w:cols>
          <w:pgMar w:left="320" w:top="796" w:right="759" w:bottom="1440" w:gutter="0" w:footer="0" w:header="0"/>
          <w:type w:val="continuous"/>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156845</wp:posOffset>
            </wp:positionV>
            <wp:extent cx="2391410" cy="8915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239141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56B8"/>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Form 20-F constituting a part of this Registration Statement on Form F-1 (Registration No. 333-289205) of our report dated April 6, 2026, relating to the consolidated financial statements of Davion Healthcare Plc and Subsidiary which is contained in the Form 20-F. We also consent to the reference to us under the caption “Experts” in the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237105" cy="3086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223710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ectPr>
          <w:pgSz w:w="11900" w:h="16838" w:orient="portrait"/>
          <w:cols w:equalWidth="0" w:num="1">
            <w:col w:w="11240"/>
          </w:cols>
          <w:pgMar w:left="320" w:top="117"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15d-14(a) UNDER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 Kaye, certify that:</w:t>
      </w:r>
    </w:p>
    <w:p>
      <w:pPr>
        <w:spacing w:after="0" w:line="252" w:lineRule="exact"/>
        <w:rPr>
          <w:sz w:val="20"/>
          <w:szCs w:val="20"/>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20-F/A of Davion Healthcare Plc (the “Company”);</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660" w:right="140" w:hanging="4"/>
        <w:spacing w:after="0" w:line="266" w:lineRule="auto"/>
        <w:tabs>
          <w:tab w:leader="none" w:pos="905"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915"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International Financial Reporting Standards as issued by the IASB;</w:t>
      </w:r>
    </w:p>
    <w:p>
      <w:pPr>
        <w:spacing w:after="0" w:line="175" w:lineRule="exact"/>
        <w:rPr>
          <w:rFonts w:ascii="Times New Roman" w:cs="Times New Roman" w:eastAsia="Times New Roman" w:hAnsi="Times New Roman"/>
          <w:sz w:val="18"/>
          <w:szCs w:val="18"/>
          <w:color w:val="auto"/>
        </w:rPr>
      </w:pPr>
    </w:p>
    <w:p>
      <w:pPr>
        <w:ind w:left="660" w:right="620" w:hanging="4"/>
        <w:spacing w:after="0" w:line="312" w:lineRule="auto"/>
        <w:tabs>
          <w:tab w:leader="none" w:pos="905"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hanging="4"/>
        <w:spacing w:after="0" w:line="312" w:lineRule="auto"/>
        <w:tabs>
          <w:tab w:leader="none" w:pos="915"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9" w:lineRule="exact"/>
        <w:rPr>
          <w:rFonts w:ascii="Times New Roman" w:cs="Times New Roman" w:eastAsia="Times New Roman" w:hAnsi="Times New Roman"/>
          <w:sz w:val="17"/>
          <w:szCs w:val="17"/>
          <w:color w:val="auto"/>
        </w:rPr>
      </w:pPr>
    </w:p>
    <w:p>
      <w:pPr>
        <w:ind w:left="660" w:right="60" w:hanging="328"/>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 w:hanging="4"/>
        <w:spacing w:after="0" w:line="282" w:lineRule="auto"/>
        <w:tabs>
          <w:tab w:leader="none" w:pos="905"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520" w:hanging="4"/>
        <w:spacing w:after="0" w:line="282" w:lineRule="auto"/>
        <w:tabs>
          <w:tab w:leader="none" w:pos="915"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Jack Kaye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Davion Healthcare Plc</w:t>
      </w:r>
    </w:p>
    <w:p>
      <w:pPr>
        <w:sectPr>
          <w:pgSz w:w="11900" w:h="16838" w:orient="portrait"/>
          <w:cols w:equalWidth="0" w:num="1">
            <w:col w:w="11240"/>
          </w:cols>
          <w:pgMar w:left="320" w:top="11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15d-14(a) UNDER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Andreas Ttofi, certify that:</w:t>
      </w:r>
    </w:p>
    <w:p>
      <w:pPr>
        <w:spacing w:after="0" w:line="225" w:lineRule="exact"/>
        <w:rPr>
          <w:sz w:val="20"/>
          <w:szCs w:val="20"/>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20-F/A of Davion Healthcare Plc (the “Company”);</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660" w:right="140" w:hanging="4"/>
        <w:spacing w:after="0" w:line="266" w:lineRule="auto"/>
        <w:tabs>
          <w:tab w:leader="none" w:pos="905"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915"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International Financial Reporting Standards as issued by the IASB;</w:t>
      </w:r>
    </w:p>
    <w:p>
      <w:pPr>
        <w:spacing w:after="0" w:line="175" w:lineRule="exact"/>
        <w:rPr>
          <w:rFonts w:ascii="Times New Roman" w:cs="Times New Roman" w:eastAsia="Times New Roman" w:hAnsi="Times New Roman"/>
          <w:sz w:val="18"/>
          <w:szCs w:val="18"/>
          <w:color w:val="auto"/>
        </w:rPr>
      </w:pPr>
    </w:p>
    <w:p>
      <w:pPr>
        <w:ind w:left="660" w:right="620" w:hanging="4"/>
        <w:spacing w:after="0" w:line="312" w:lineRule="auto"/>
        <w:tabs>
          <w:tab w:leader="none" w:pos="905"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hanging="4"/>
        <w:spacing w:after="0" w:line="312" w:lineRule="auto"/>
        <w:tabs>
          <w:tab w:leader="none" w:pos="915"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6" w:lineRule="exact"/>
        <w:rPr>
          <w:rFonts w:ascii="Times New Roman" w:cs="Times New Roman" w:eastAsia="Times New Roman" w:hAnsi="Times New Roman"/>
          <w:sz w:val="17"/>
          <w:szCs w:val="17"/>
          <w:color w:val="auto"/>
        </w:rPr>
      </w:pPr>
    </w:p>
    <w:p>
      <w:pPr>
        <w:ind w:left="660" w:right="60" w:hanging="328"/>
        <w:spacing w:after="0" w:line="282"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 w:hanging="4"/>
        <w:spacing w:after="0" w:line="282" w:lineRule="auto"/>
        <w:tabs>
          <w:tab w:leader="none" w:pos="905"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520" w:hanging="4"/>
        <w:spacing w:after="0" w:line="282" w:lineRule="auto"/>
        <w:tabs>
          <w:tab w:leader="none" w:pos="915"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Andreas Ttofi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0598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10598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Davion Healthcare Plc</w:t>
      </w:r>
    </w:p>
    <w:p>
      <w:pPr>
        <w:sectPr>
          <w:pgSz w:w="11900" w:h="16838" w:orient="portrait"/>
          <w:cols w:equalWidth="0" w:num="1">
            <w:col w:w="11240"/>
          </w:cols>
          <w:pgMar w:left="320" w:top="117"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Davion Healthcare Plc (the “Company”) on Form 20-F/A for the year ended December 31, 2025 (the “Report”), I, Jack Kaye, Chief Executive Officer of the Company, certify, pursuant to 18 U.S.C. §1350, as adopted pursuant to Section 906 of the Sarbanes-Oxley Act of 2002, that:</w:t>
      </w:r>
    </w:p>
    <w:p>
      <w:pPr>
        <w:spacing w:after="0" w:line="176" w:lineRule="exact"/>
        <w:rPr>
          <w:sz w:val="20"/>
          <w:szCs w:val="20"/>
          <w:color w:val="auto"/>
        </w:rPr>
      </w:pPr>
    </w:p>
    <w:p>
      <w:pPr>
        <w:ind w:left="540" w:hanging="262"/>
        <w:spacing w:after="0"/>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Jack Kaye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Kaye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Davion Healthcare Plc</w:t>
      </w:r>
    </w:p>
    <w:p>
      <w:pPr>
        <w:sectPr>
          <w:pgSz w:w="11900" w:h="16838" w:orient="portrait"/>
          <w:cols w:equalWidth="0" w:num="1">
            <w:col w:w="11240"/>
          </w:cols>
          <w:pgMar w:left="320" w:top="11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Davion Healthcare Plc (the “Company”) on Form 20-F/A for the year ended December 31, 2025 (the “Report”), I, Andreas Ttofi, Chief Financial Officer of the Company, certify, pursuant to 18 U.S.C. §1350, as adopted pursuant to Section 906 of the Sarbanes-Oxley Act of 2002, that:</w:t>
      </w:r>
    </w:p>
    <w:p>
      <w:pPr>
        <w:spacing w:after="0" w:line="176" w:lineRule="exact"/>
        <w:rPr>
          <w:sz w:val="20"/>
          <w:szCs w:val="20"/>
          <w:color w:val="auto"/>
        </w:rPr>
      </w:pPr>
    </w:p>
    <w:p>
      <w:pPr>
        <w:ind w:left="540" w:hanging="262"/>
        <w:spacing w:after="0"/>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Andreas Ttofi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Andreas Totfi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Davion Healthcare Plc</w:t>
      </w:r>
    </w:p>
    <w:p>
      <w:pPr>
        <w:sectPr>
          <w:pgSz w:w="11900" w:h="16838" w:orient="portrait"/>
          <w:cols w:equalWidth="0" w:num="1">
            <w:col w:w="11240"/>
          </w:cols>
          <w:pgMar w:left="320" w:top="117"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DAVION HEALTHCARE PLC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POLICY FOR RECOVERY OF</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ERRONEOUSLY AWARDED</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INCENTIVE-BASED COMPENSATION</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(CLAWBACK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Adopted: </w:t>
      </w:r>
      <w:r>
        <w:rPr>
          <w:rFonts w:ascii="Times New Roman" w:cs="Times New Roman" w:eastAsia="Times New Roman" w:hAnsi="Times New Roman"/>
          <w:sz w:val="18"/>
          <w:szCs w:val="18"/>
          <w:color w:val="auto"/>
        </w:rPr>
        <w:t>January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w:t>
      </w:r>
    </w:p>
    <w:p>
      <w:pPr>
        <w:spacing w:after="0" w:line="184" w:lineRule="auto"/>
        <w:rPr>
          <w:sz w:val="20"/>
          <w:szCs w:val="20"/>
          <w:color w:val="auto"/>
        </w:rPr>
      </w:pP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January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Applicable to: </w:t>
      </w:r>
      <w:r>
        <w:rPr>
          <w:rFonts w:ascii="Times New Roman" w:cs="Times New Roman" w:eastAsia="Times New Roman" w:hAnsi="Times New Roman"/>
          <w:sz w:val="18"/>
          <w:szCs w:val="18"/>
          <w:color w:val="auto"/>
        </w:rPr>
        <w:t>Executive Officers and Executive Directors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5"/>
          <w:szCs w:val="25"/>
          <w:b w:val="1"/>
          <w:bCs w:val="1"/>
          <w:color w:val="auto"/>
        </w:rPr>
        <w:t>1. PURPOSE AND SCOPE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Purpose</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This Policy for Recovery of Erroneously Awarded Incentive-Based Compensation (the “Policy”) has been adopted by the Board of Directors (the “Board”) of Davion Healthcare Plc (the “Company”) to comply with Section 954 of the Dodd-Frank Wall Street Reform and Consumer Protection Act, Rule 10D-1 under the U.S. Securities Exchange Act of 1934, as amended (the “Exchange Act”), and Nasdaq Listing Rule 5608.</w:t>
      </w:r>
    </w:p>
    <w:p>
      <w:pPr>
        <w:spacing w:after="0" w:line="176"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This Policy establishes the Company’s obligations to recover Erroneously Awarded Compensation (as defined below) from current and former Executive Officers in the event that the Company is required to prepare an Accounting Restatement (as defined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Scope and Application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applies to all Incentive-Based Compensation (as defined below) Received (as defined below) by any Executive Officer:</w:t>
      </w:r>
    </w:p>
    <w:p>
      <w:pPr>
        <w:spacing w:after="0" w:line="225"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After beginning service as an Executive Officer;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Who served as an Executive Officer at any time during the performance period for the applicable Incentive-Based Compensation;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While the Company has a class of securities listed on a national securities exchange or a national securities association (including Nasdaq); and</w:t>
      </w:r>
    </w:p>
    <w:p>
      <w:pPr>
        <w:spacing w:after="0" w:line="227" w:lineRule="exact"/>
        <w:rPr>
          <w:rFonts w:ascii="Arial" w:cs="Arial" w:eastAsia="Arial" w:hAnsi="Arial"/>
          <w:sz w:val="18"/>
          <w:szCs w:val="18"/>
          <w:b w:val="1"/>
          <w:bCs w:val="1"/>
          <w:color w:val="auto"/>
        </w:rPr>
      </w:pPr>
    </w:p>
    <w:p>
      <w:pPr>
        <w:ind w:left="660" w:hanging="328"/>
        <w:spacing w:after="0"/>
        <w:tabs>
          <w:tab w:leader="none" w:pos="660" w:val="left"/>
        </w:tabs>
        <w:numPr>
          <w:ilvl w:val="0"/>
          <w:numId w:val="1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or after January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2026.</w:t>
      </w:r>
    </w:p>
    <w:p>
      <w:pPr>
        <w:spacing w:after="0" w:line="13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This Policy applies regardless of whether the Executive Officer was at fault, engaged in misconduct, or was responsible for the accounting error that led to the Accounting Restatement.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Irish Company Status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an Irish public limited company registered under the laws of Ireland. This Policy is adopted pursuant to U.S. securities law requirements applicable to companies with securities listed on Nasdaq and does not alter or supersede the Company’s obligations under Irish company law, including the Irish Companies Act 2014, as amended. In the event of any conflict between this Policy and mandatory provisions of Irish law, the Company shall comply with Irish law and seek appropriate guidance from its legal advisors.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2. DEFINITIONS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 the following terms have the meanings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“Accounting Restatement”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accounting restatement means an accounting restatement:</w:t>
      </w:r>
    </w:p>
    <w:p>
      <w:pPr>
        <w:spacing w:after="0" w:line="225" w:lineRule="exact"/>
        <w:rPr>
          <w:sz w:val="20"/>
          <w:szCs w:val="20"/>
          <w:color w:val="auto"/>
        </w:rPr>
      </w:pPr>
    </w:p>
    <w:p>
      <w:pPr>
        <w:ind w:left="660" w:hanging="328"/>
        <w:spacing w:after="0" w:line="312" w:lineRule="auto"/>
        <w:tabs>
          <w:tab w:leader="none" w:pos="66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correct the Company’s material noncompliance with any financial reporting requirement under the securities laws, including any required accounting restatement to correct an error in previously issued financial statements that is material to the previously issued financial statements; or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86" w:right="379" w:bottom="1440" w:gutter="0" w:footer="0" w:header="0"/>
        </w:sectPr>
      </w:pPr>
    </w:p>
    <w:bookmarkStart w:id="155" w:name="page156"/>
    <w:bookmarkEnd w:id="155"/>
    <w:p>
      <w:pPr>
        <w:ind w:left="660" w:right="40" w:hanging="328"/>
        <w:spacing w:after="0" w:line="282"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corrects an error that is not material to previously issued financial statements, but would result in a material misstatement if the error were corrected in the current period or left uncorrected in the current period (commonly referred to as a “little r” restatement).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Accounting Restatement is required on the earlier of:</w:t>
      </w:r>
    </w:p>
    <w:p>
      <w:pPr>
        <w:spacing w:after="0" w:line="225" w:lineRule="exact"/>
        <w:rPr>
          <w:sz w:val="20"/>
          <w:szCs w:val="20"/>
          <w:color w:val="auto"/>
        </w:rPr>
      </w:pPr>
    </w:p>
    <w:p>
      <w:pPr>
        <w:jc w:val="both"/>
        <w:ind w:left="660" w:right="960" w:hanging="328"/>
        <w:spacing w:after="0" w:line="311" w:lineRule="auto"/>
        <w:tabs>
          <w:tab w:leader="none" w:pos="660" w:val="left"/>
        </w:tabs>
        <w:numPr>
          <w:ilvl w:val="0"/>
          <w:numId w:val="129"/>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The date the Board, a committee of the Board, or the officers of the Company authorized to take such action if Board action is not required, concludes, or reasonably should have concluded, that the Company is required to prepare an Accounting Restatement; or</w:t>
      </w:r>
    </w:p>
    <w:p>
      <w:pPr>
        <w:spacing w:after="0" w:line="140" w:lineRule="exact"/>
        <w:rPr>
          <w:rFonts w:ascii="Arial" w:cs="Arial" w:eastAsia="Arial" w:hAnsi="Arial"/>
          <w:sz w:val="17"/>
          <w:szCs w:val="17"/>
          <w:b w:val="1"/>
          <w:bCs w:val="1"/>
          <w:color w:val="auto"/>
        </w:rPr>
      </w:pPr>
    </w:p>
    <w:p>
      <w:pPr>
        <w:ind w:left="660" w:hanging="328"/>
        <w:spacing w:after="0"/>
        <w:tabs>
          <w:tab w:leader="none" w:pos="660" w:val="left"/>
        </w:tabs>
        <w:numPr>
          <w:ilvl w:val="0"/>
          <w:numId w:val="1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date a court, regulator, or other legally authorized body directs the Company to prepare an Accounting Restatement.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“Executive Officer” means the Company’s executive officers as defined in Rule 16a-1(f) under the Exchange Act and, for clarity, includes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executive directors. This definition includes:</w:t>
      </w:r>
    </w:p>
    <w:p>
      <w:pPr>
        <w:spacing w:after="0" w:line="207" w:lineRule="exact"/>
        <w:rPr>
          <w:sz w:val="20"/>
          <w:szCs w:val="20"/>
          <w:color w:val="auto"/>
        </w:rPr>
      </w:pPr>
    </w:p>
    <w:p>
      <w:pPr>
        <w:ind w:left="660" w:right="120" w:hanging="328"/>
        <w:spacing w:after="0" w:line="281" w:lineRule="auto"/>
        <w:tabs>
          <w:tab w:leader="none" w:pos="660" w:val="left"/>
        </w:tabs>
        <w:numPr>
          <w:ilvl w:val="0"/>
          <w:numId w:val="1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Company’s chief executive officer, chief financial officer, chief commercial officer, chief operating officer, chief accounting officer (or, if there is no such accounting officer, the controller), and any vice-president in charge of a principal business unit, division, or function;</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other officer of the Company who performs a policy-making function;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other person who performs similar policy-making functions for the Company.</w:t>
      </w:r>
    </w:p>
    <w:p>
      <w:pPr>
        <w:spacing w:after="0" w:line="22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Executive officers of the Company’s subsidiaries are deemed executive officers of the Company if they perform such policy-making functions for the Company.</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2.3 “Erroneously Awarded Compensation”</w:t>
      </w:r>
    </w:p>
    <w:p>
      <w:pPr>
        <w:spacing w:after="0" w:line="229" w:lineRule="exact"/>
        <w:rPr>
          <w:sz w:val="20"/>
          <w:szCs w:val="20"/>
          <w:color w:val="auto"/>
        </w:rPr>
      </w:pPr>
    </w:p>
    <w:p>
      <w:pPr>
        <w:ind w:left="80"/>
        <w:spacing w:after="0" w:line="266" w:lineRule="auto"/>
        <w:rPr>
          <w:sz w:val="20"/>
          <w:szCs w:val="20"/>
          <w:color w:val="auto"/>
        </w:rPr>
      </w:pPr>
      <w:r>
        <w:rPr>
          <w:rFonts w:ascii="Times New Roman" w:cs="Times New Roman" w:eastAsia="Times New Roman" w:hAnsi="Times New Roman"/>
          <w:sz w:val="18"/>
          <w:szCs w:val="18"/>
          <w:color w:val="auto"/>
        </w:rPr>
        <w:t>“Erroneously Awarded Compensation” means the amount of Incentive-Based Compensation Received by an Executive Officer that exceeds the amount of Incentive-Based Compensation that otherwise would have been Received had it been determined based on the restated amounts in an Accounting Restatement, computed without regard to any taxes paid.</w:t>
      </w:r>
    </w:p>
    <w:p>
      <w:pPr>
        <w:spacing w:after="0" w:line="176" w:lineRule="exact"/>
        <w:rPr>
          <w:sz w:val="20"/>
          <w:szCs w:val="20"/>
          <w:color w:val="auto"/>
        </w:rPr>
      </w:pPr>
    </w:p>
    <w:p>
      <w:pPr>
        <w:ind w:left="80" w:right="500"/>
        <w:spacing w:after="0" w:line="282" w:lineRule="auto"/>
        <w:rPr>
          <w:sz w:val="20"/>
          <w:szCs w:val="20"/>
          <w:color w:val="auto"/>
        </w:rPr>
      </w:pPr>
      <w:r>
        <w:rPr>
          <w:rFonts w:ascii="Times New Roman" w:cs="Times New Roman" w:eastAsia="Times New Roman" w:hAnsi="Times New Roman"/>
          <w:sz w:val="18"/>
          <w:szCs w:val="18"/>
          <w:color w:val="auto"/>
        </w:rPr>
        <w:t>For Incentive-Based Compensation based on (or derived from) stock price or total shareholder return (“TSR”), where the amount of Erroneously Awarded Compensation is not subject to mathematical recalculation directly from the information in an Accounting Restatement:</w:t>
      </w:r>
    </w:p>
    <w:p>
      <w:pPr>
        <w:spacing w:after="0" w:line="162" w:lineRule="exact"/>
        <w:rPr>
          <w:sz w:val="20"/>
          <w:szCs w:val="20"/>
          <w:color w:val="auto"/>
        </w:rPr>
      </w:pPr>
    </w:p>
    <w:p>
      <w:pPr>
        <w:ind w:left="660" w:right="380" w:hanging="328"/>
        <w:spacing w:after="0" w:line="281" w:lineRule="auto"/>
        <w:tabs>
          <w:tab w:leader="none" w:pos="660" w:val="left"/>
        </w:tabs>
        <w:numPr>
          <w:ilvl w:val="0"/>
          <w:numId w:val="1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amount shall be based on a reasonable estimate of the effect of the Accounting Restatement on the stock price or TSR upon which the Incentive-Based Compensation was Received; and</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shall maintain documentation of the determination of that reasonable estimate and provide such documentation to Nasdaq.</w:t>
      </w: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2.4 “Financial Reporting Measures”</w:t>
      </w:r>
    </w:p>
    <w:p>
      <w:pPr>
        <w:spacing w:after="0" w:line="229" w:lineRule="exact"/>
        <w:rPr>
          <w:sz w:val="20"/>
          <w:szCs w:val="20"/>
          <w:color w:val="auto"/>
        </w:rPr>
      </w:pPr>
    </w:p>
    <w:p>
      <w:pPr>
        <w:ind w:left="80" w:right="600"/>
        <w:spacing w:after="0" w:line="266" w:lineRule="auto"/>
        <w:rPr>
          <w:sz w:val="20"/>
          <w:szCs w:val="20"/>
          <w:color w:val="auto"/>
        </w:rPr>
      </w:pPr>
      <w:r>
        <w:rPr>
          <w:rFonts w:ascii="Times New Roman" w:cs="Times New Roman" w:eastAsia="Times New Roman" w:hAnsi="Times New Roman"/>
          <w:sz w:val="18"/>
          <w:szCs w:val="18"/>
          <w:color w:val="auto"/>
        </w:rPr>
        <w:t>“Financial Reporting Measures” are measures that are determined and presented in accordance with the accounting principles used in preparing the Company’s financial statements, and any measures that are derived wholly or in part from such measures. Financial Reporting Measures include, but are not limited to: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796" w:right="579" w:bottom="1440" w:gutter="0" w:footer="0" w:header="0"/>
        </w:sectPr>
      </w:pPr>
    </w:p>
    <w:bookmarkStart w:id="156" w:name="page157"/>
    <w:bookmarkEnd w:id="156"/>
    <w:p>
      <w:pPr>
        <w:ind w:left="660" w:hanging="328"/>
        <w:spacing w:after="0"/>
        <w:tabs>
          <w:tab w:leader="none" w:pos="660" w:val="left"/>
        </w:tabs>
        <w:numPr>
          <w:ilvl w:val="0"/>
          <w:numId w:val="1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Company stock price;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shareholder return (TSR);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income;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Operating income;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Profitability of one or more reportable segments;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Financial ratios (e.g., earnings per share, return on assets, return on equity);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Liquidity measures (e.g., working capital, operating cash flow);</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Non-GAAP financial measures (e.g., EBITDA, adjusted EBITDA, free cash flow);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other financial measure derived from the Company’s financial statements or accounting records.</w:t>
      </w:r>
    </w:p>
    <w:p>
      <w:pPr>
        <w:spacing w:after="0" w:line="224" w:lineRule="exact"/>
        <w:rPr>
          <w:sz w:val="20"/>
          <w:szCs w:val="20"/>
          <w:color w:val="auto"/>
        </w:rPr>
      </w:pPr>
    </w:p>
    <w:p>
      <w:pPr>
        <w:ind w:left="80" w:right="700"/>
        <w:spacing w:after="0" w:line="282" w:lineRule="auto"/>
        <w:rPr>
          <w:sz w:val="20"/>
          <w:szCs w:val="20"/>
          <w:color w:val="auto"/>
        </w:rPr>
      </w:pPr>
      <w:r>
        <w:rPr>
          <w:rFonts w:ascii="Times New Roman" w:cs="Times New Roman" w:eastAsia="Times New Roman" w:hAnsi="Times New Roman"/>
          <w:sz w:val="18"/>
          <w:szCs w:val="18"/>
          <w:color w:val="auto"/>
        </w:rPr>
        <w:t>A Financial Reporting Measure need not be presented within the Company’s financial statements or included in a filing with the SEC or other regulatory body.</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2.5 “Incentive-Based Compensation”</w:t>
      </w:r>
    </w:p>
    <w:p>
      <w:pPr>
        <w:spacing w:after="0" w:line="229" w:lineRule="exact"/>
        <w:rPr>
          <w:sz w:val="20"/>
          <w:szCs w:val="20"/>
          <w:color w:val="auto"/>
        </w:rPr>
      </w:pPr>
    </w:p>
    <w:p>
      <w:pPr>
        <w:ind w:left="80" w:right="40"/>
        <w:spacing w:after="0" w:line="282" w:lineRule="auto"/>
        <w:rPr>
          <w:sz w:val="20"/>
          <w:szCs w:val="20"/>
          <w:color w:val="auto"/>
        </w:rPr>
      </w:pPr>
      <w:r>
        <w:rPr>
          <w:rFonts w:ascii="Times New Roman" w:cs="Times New Roman" w:eastAsia="Times New Roman" w:hAnsi="Times New Roman"/>
          <w:sz w:val="18"/>
          <w:szCs w:val="18"/>
          <w:color w:val="auto"/>
        </w:rPr>
        <w:t>“Incentive-Based Compensation” means any compensation that is granted, earned, or vested based wholly or in part upon the attainment of a Financial Reporting Measure. Incentive-Based Compensation includes, but is not limited to:</w:t>
      </w:r>
    </w:p>
    <w:p>
      <w:pPr>
        <w:spacing w:after="0" w:line="162"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Cash bonuses and other cash awards based on satisfaction of Financial Reporting Measures;</w:t>
      </w:r>
    </w:p>
    <w:p>
      <w:pPr>
        <w:spacing w:after="0" w:line="224" w:lineRule="exact"/>
        <w:rPr>
          <w:rFonts w:ascii="Arial" w:cs="Arial" w:eastAsia="Arial" w:hAnsi="Arial"/>
          <w:sz w:val="18"/>
          <w:szCs w:val="18"/>
          <w:b w:val="1"/>
          <w:bCs w:val="1"/>
          <w:color w:val="auto"/>
        </w:rPr>
      </w:pPr>
    </w:p>
    <w:p>
      <w:pPr>
        <w:ind w:left="660" w:right="200" w:hanging="328"/>
        <w:spacing w:after="0" w:line="281" w:lineRule="auto"/>
        <w:tabs>
          <w:tab w:leader="none" w:pos="660" w:val="left"/>
        </w:tabs>
        <w:numPr>
          <w:ilvl w:val="0"/>
          <w:numId w:val="1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Restricted stock, restricted stock units, performance shares, performance units, and stock options that are granted or become vested based on satisfaction of Financial Reporting Measures;</w:t>
      </w:r>
    </w:p>
    <w:p>
      <w:pPr>
        <w:spacing w:after="0" w:line="162" w:lineRule="exact"/>
        <w:rPr>
          <w:rFonts w:ascii="Arial" w:cs="Arial" w:eastAsia="Arial" w:hAnsi="Arial"/>
          <w:sz w:val="18"/>
          <w:szCs w:val="18"/>
          <w:b w:val="1"/>
          <w:bCs w:val="1"/>
          <w:color w:val="auto"/>
        </w:rPr>
      </w:pPr>
    </w:p>
    <w:p>
      <w:pPr>
        <w:ind w:left="660" w:right="160" w:hanging="328"/>
        <w:spacing w:after="0" w:line="281" w:lineRule="auto"/>
        <w:tabs>
          <w:tab w:leader="none" w:pos="660" w:val="left"/>
        </w:tabs>
        <w:numPr>
          <w:ilvl w:val="0"/>
          <w:numId w:val="1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Proceeds from the sale of shares acquired through an incentive plan that were granted or vested based on achievement of Financial Reporting Measures;</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Other compensation that is based on, or contingent upon, achievement of Financial Reporting Measures (including amounts contributed to non-qualified deferred compensation plans or notional accounts based on Incentive-Based Compensation, and any earnings on such amounts).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Incentive-Based Compensation does not include:</w:t>
      </w:r>
    </w:p>
    <w:p>
      <w:pPr>
        <w:spacing w:after="0" w:line="225" w:lineRule="exact"/>
        <w:rPr>
          <w:sz w:val="20"/>
          <w:szCs w:val="20"/>
          <w:color w:val="auto"/>
        </w:rPr>
      </w:pPr>
    </w:p>
    <w:p>
      <w:pPr>
        <w:ind w:left="660" w:hanging="328"/>
        <w:spacing w:after="0"/>
        <w:tabs>
          <w:tab w:leader="none" w:pos="660" w:val="left"/>
        </w:tabs>
        <w:numPr>
          <w:ilvl w:val="0"/>
          <w:numId w:val="13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Salaries (unless such salary increases are based on achievement of Financial Reporting Measures);</w:t>
      </w:r>
    </w:p>
    <w:p>
      <w:pPr>
        <w:spacing w:after="0" w:line="224" w:lineRule="exact"/>
        <w:rPr>
          <w:rFonts w:ascii="Arial" w:cs="Arial" w:eastAsia="Arial" w:hAnsi="Arial"/>
          <w:sz w:val="18"/>
          <w:szCs w:val="18"/>
          <w:b w:val="1"/>
          <w:bCs w:val="1"/>
          <w:color w:val="auto"/>
        </w:rPr>
      </w:pPr>
    </w:p>
    <w:p>
      <w:pPr>
        <w:ind w:left="660" w:right="520" w:hanging="328"/>
        <w:spacing w:after="0" w:line="281" w:lineRule="auto"/>
        <w:tabs>
          <w:tab w:leader="none" w:pos="660" w:val="left"/>
        </w:tabs>
        <w:numPr>
          <w:ilvl w:val="0"/>
          <w:numId w:val="13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Bonuses paid solely at the discretion of the Board or Remuneration Committee that are not paid from a bonus pool that is determined by satisfying a Financial Reporting Measure;</w:t>
      </w:r>
    </w:p>
    <w:p>
      <w:pPr>
        <w:spacing w:after="0" w:line="162" w:lineRule="exact"/>
        <w:rPr>
          <w:rFonts w:ascii="Arial" w:cs="Arial" w:eastAsia="Arial" w:hAnsi="Arial"/>
          <w:sz w:val="18"/>
          <w:szCs w:val="18"/>
          <w:b w:val="1"/>
          <w:bCs w:val="1"/>
          <w:color w:val="auto"/>
        </w:rPr>
      </w:pPr>
    </w:p>
    <w:p>
      <w:pPr>
        <w:ind w:left="660" w:right="680" w:hanging="328"/>
        <w:spacing w:after="0" w:line="281" w:lineRule="auto"/>
        <w:tabs>
          <w:tab w:leader="none" w:pos="660" w:val="left"/>
        </w:tabs>
        <w:numPr>
          <w:ilvl w:val="0"/>
          <w:numId w:val="13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Bonuses paid solely upon satisfying one or more subjective standards (e.g., demonstrated leadership) and/or completion of a specified employment period;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796" w:right="599" w:bottom="1440" w:gutter="0" w:footer="0" w:header="0"/>
        </w:sectPr>
      </w:pPr>
    </w:p>
    <w:bookmarkStart w:id="157" w:name="page158"/>
    <w:bookmarkEnd w:id="157"/>
    <w:p>
      <w:pPr>
        <w:ind w:left="660" w:right="120" w:hanging="328"/>
        <w:spacing w:after="0" w:line="265" w:lineRule="auto"/>
        <w:tabs>
          <w:tab w:leader="none" w:pos="660" w:val="left"/>
        </w:tabs>
        <w:numPr>
          <w:ilvl w:val="0"/>
          <w:numId w:val="1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Non-equity incentive plan awards earned solely upon satisfying one or more strategic measures (e.g., consummation of a merger or divestiture, opening a specified number of facilities, completion of a clinical trial) or operational measures (e.g., customer satisfaction, market share, product development);</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1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Equity awards that vest solely on the passage of time and/or attainment of one or more non-financial reporting measures;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3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Payments or benefits provided under broad-based, tax-qualified retirement plans.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“Received”</w:t>
      </w:r>
    </w:p>
    <w:p>
      <w:pPr>
        <w:spacing w:after="0" w:line="22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Incentive-Based Compensation is deemed “Received” in the Company’s fiscal year during which the Financial Reporting Measure specified in the Incentive-Based Compensation award is attained, even if the payment or grant of the Incentive-Based Compensation occurs after the end of that fiscal year.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3. RECOVERY PERIOD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Three-Year Lookback Period</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shall recover Erroneously Awarded Compensation Received by an Executive Officer during the three completed fiscal years immediately preceding the date on which the Company is required to prepare an Accounting Restatement.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Transition from Private to Publicly Listed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determining the Recovery Period, the date that the Company is required to prepare an Accounting Restatement is the earlier of:</w:t>
      </w:r>
    </w:p>
    <w:p>
      <w:pPr>
        <w:spacing w:after="0" w:line="225" w:lineRule="exact"/>
        <w:rPr>
          <w:sz w:val="20"/>
          <w:szCs w:val="20"/>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Board, a committee of the Board, or the officers authorized to take such</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conclude, or reasonably should have concluded, that the Company is required to prepare an Accounting Restatement; or</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 court, regulator, or other legally authorized body directs the Company to prepare an Accounting Restatement.</w:t>
      </w:r>
    </w:p>
    <w:p>
      <w:pPr>
        <w:spacing w:after="0" w:line="22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addition to the completed fiscal years, if the date of determination falls during the Company’s fourth fiscal year prior to the date the restatement is required, the Recovery Period would include any Incentive-Based Compensation Received with respect to that transition period.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 ADMINISTRATION AND ENFORCEMENT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 Authority</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Board, or if so designated by the Board, the Remuneration Committee (the “Committee”), shall be responsible for administering this Policy. The Board or Committee, as applicable (the “Administrator”), shall have full discretion and authority to make all determinations under this Policy, including but not limited to:</w:t>
      </w:r>
    </w:p>
    <w:p>
      <w:pPr>
        <w:spacing w:after="0" w:line="176" w:lineRule="exact"/>
        <w:rPr>
          <w:sz w:val="20"/>
          <w:szCs w:val="20"/>
          <w:color w:val="auto"/>
        </w:rPr>
      </w:pPr>
    </w:p>
    <w:p>
      <w:pPr>
        <w:ind w:left="660" w:hanging="328"/>
        <w:spacing w:after="0"/>
        <w:tabs>
          <w:tab w:leader="none" w:pos="660" w:val="left"/>
        </w:tabs>
        <w:numPr>
          <w:ilvl w:val="0"/>
          <w:numId w:val="1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Determining whether an Accounting Restatement has occurred;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Identifying Executive Officers subject to this Policy;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58" w:name="page159"/>
    <w:bookmarkEnd w:id="158"/>
    <w:p>
      <w:pPr>
        <w:ind w:left="660" w:hanging="328"/>
        <w:spacing w:after="0"/>
        <w:tabs>
          <w:tab w:leader="none" w:pos="660" w:val="left"/>
        </w:tabs>
        <w:numPr>
          <w:ilvl w:val="0"/>
          <w:numId w:val="1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Determining the amount of Erroneously Awarded Compensation;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Determining the method(s) for recovering Erroneously Awarded Compensation; and</w:t>
      </w:r>
    </w:p>
    <w:p>
      <w:pPr>
        <w:spacing w:after="0" w:line="224" w:lineRule="exact"/>
        <w:rPr>
          <w:rFonts w:ascii="Arial" w:cs="Arial" w:eastAsia="Arial" w:hAnsi="Arial"/>
          <w:sz w:val="18"/>
          <w:szCs w:val="18"/>
          <w:b w:val="1"/>
          <w:bCs w:val="1"/>
          <w:color w:val="auto"/>
        </w:rPr>
      </w:pPr>
    </w:p>
    <w:p>
      <w:pPr>
        <w:ind w:right="3520" w:firstLine="332"/>
        <w:spacing w:after="0" w:line="497" w:lineRule="auto"/>
        <w:tabs>
          <w:tab w:leader="none" w:pos="648" w:val="left"/>
        </w:tabs>
        <w:numPr>
          <w:ilvl w:val="0"/>
          <w:numId w:val="1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Making all other determinations necessary or appropriate to implement and administer this Policy. All determinations by the Administrator shall be final, binding, and conclusive.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 Reasonably Prompt Recovery</w:t>
      </w:r>
    </w:p>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 shall recover Erroneously Awarded Compensation reasonably promptly following the determination that such recovery is required under this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 Methods of Recovery</w:t>
      </w:r>
    </w:p>
    <w:p>
      <w:pPr>
        <w:spacing w:after="0" w:line="22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Administrator shall determine, in its sole discretion, the timing and method for recovering Erroneously Awarded Compensation, which may include, without limitation:</w:t>
      </w:r>
    </w:p>
    <w:p>
      <w:pPr>
        <w:spacing w:after="0" w:line="162" w:lineRule="exact"/>
        <w:rPr>
          <w:sz w:val="20"/>
          <w:szCs w:val="20"/>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or equity-based awards;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Erroneously Awarded Compensation from any compensation otherwise owed by the Company or its subsidiaries to the Executive Officer, subject to applicable law including Irish employment law;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outstanding vested or unvested equity awards;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Forgoing future salary increases, bonuses, or equity awards;</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legal action to enforce the terms of this Policy, including but not limited to seeking injunctive relief and/or bringing an action for breach of contract; and/or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authorized by applicable law or contract.</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Administrator shall take into account all applicable laws and regulations in implementing recovery under this Policy, including Irish company law and employment law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4.4 No-Fault Recovery</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Recovery of Erroneously Awarded Compensation shall be required regardless of whether the Executive Officer engaged in misconduct, was responsible for the accounting error, or had any direct involvement in the preparation of the Company’s financial statements. The Administrator is not required to determine whether any misconduct occurred or who may have been responsible for errors leading to an Accounting Restatement as a prerequisite to recovery.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5"/>
          <w:szCs w:val="25"/>
          <w:b w:val="1"/>
          <w:bCs w:val="1"/>
          <w:color w:val="auto"/>
        </w:rPr>
        <w:t>5. LIMITED EXCEPTIONS TO RECOVERY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 Impracticability Exceptions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shall recover Erroneously Awarded Compensation except to the extent that any of the following conditions are met, and the Committee (or, in the absence of such a Committee, a majority of the independent directors serving on the Board) has made a determination that recovery would be impracticable:</w:t>
      </w:r>
    </w:p>
    <w:p>
      <w:pPr>
        <w:spacing w:after="0" w:line="176" w:lineRule="exact"/>
        <w:rPr>
          <w:sz w:val="20"/>
          <w:szCs w:val="20"/>
          <w:color w:val="auto"/>
        </w:rPr>
      </w:pPr>
    </w:p>
    <w:p>
      <w:pPr>
        <w:ind w:left="660" w:hanging="328"/>
        <w:spacing w:after="0" w:line="261"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expense of enforcement: The direct expense paid to a third party to assist in enforcing this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Nasdaq.</w:t>
      </w:r>
    </w:p>
    <w:p>
      <w:pPr>
        <w:spacing w:after="0" w:line="179" w:lineRule="exact"/>
        <w:rPr>
          <w:rFonts w:ascii="Times New Roman" w:cs="Times New Roman" w:eastAsia="Times New Roman" w:hAnsi="Times New Roman"/>
          <w:sz w:val="18"/>
          <w:szCs w:val="18"/>
          <w:color w:val="auto"/>
        </w:rPr>
      </w:pPr>
    </w:p>
    <w:p>
      <w:pPr>
        <w:ind w:left="660" w:right="300" w:hanging="328"/>
        <w:spacing w:after="0" w:line="261"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home country law: Recovery would violate home country law where that law was adopted prior to 28 November 2022. Before concluding that it would be impracticable to recover any amount of Erroneously Awarded Compensation based on violation of Irish law, the Company must obtain an opinion of Irish legal counsel, acceptable to Nasdaq, that recovery would result in such a violation, and must provide such opinion to Nasdaq.</w:t>
      </w:r>
    </w:p>
    <w:p>
      <w:pPr>
        <w:spacing w:after="0" w:line="179"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Recovery would likely cause an otherwise tax-qualified retirement plan, under which benefits are broadly available to employees of the Company, to fail to meet the requirements of the relevant tax authority in Ireland, the United Kingdom, or the United States,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 Bankruptcy Exception</w:t>
      </w:r>
    </w:p>
    <w:p>
      <w:pPr>
        <w:spacing w:after="0" w:line="229"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The Administrator may determine that recovery of Erroneously Awarded Compensation from a former Executive Officer is impracticable if pursuing recovery would place the Company in violation of the terms of an order of the Irish courts, including an insolvency or examinership proceeding.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Documentation of Exceptions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Any determination that recovery is impracticable under any exception set forth in Section 5.1 or 5.2 above shall be documented and provided to Nasdaq in accordance with Nasdaq Listing Rule 5608.</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6. INDEMNIFICATION PROHIBITION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6.1 No Indemnification or Insurance</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 shall not indemnify any Executive Officer or former Executive Officer against the loss of Erroneously Awarded Compensation that is recovered pursuant to this Policy, including any payment or reimbursement for the cost of third-party insurance purchased by any Executive Officer or former Executive Officer to cover potential recovery obligations.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This prohibition does not limit the Company’s ability to maintain directors’ and officers’ liability insurance covering other matters in accordance with Irish law and the Company’s constitutional documents.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86" w:right="3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5"/>
          <w:szCs w:val="25"/>
          <w:b w:val="1"/>
          <w:bCs w:val="1"/>
          <w:color w:val="auto"/>
        </w:rPr>
        <w:t>7. DISCLOSURE AND FILING REQUIREMENTS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 Filing Requirement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shall be filed as an exhibit to the Company’s Annual Report on Form 20-F filed with the U.S. Securities and Exchange Commission.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7.2 Annual Disclosure</w:t>
      </w:r>
    </w:p>
    <w:p>
      <w:pPr>
        <w:spacing w:after="0" w:line="229" w:lineRule="exact"/>
        <w:rPr>
          <w:sz w:val="20"/>
          <w:szCs w:val="20"/>
          <w:color w:val="auto"/>
        </w:rPr>
      </w:pPr>
    </w:p>
    <w:p>
      <w:pPr>
        <w:jc w:val="both"/>
        <w:ind w:right="640"/>
        <w:spacing w:after="0" w:line="289" w:lineRule="auto"/>
        <w:rPr>
          <w:sz w:val="20"/>
          <w:szCs w:val="20"/>
          <w:color w:val="auto"/>
        </w:rPr>
      </w:pPr>
      <w:r>
        <w:rPr>
          <w:rFonts w:ascii="Times New Roman" w:cs="Times New Roman" w:eastAsia="Times New Roman" w:hAnsi="Times New Roman"/>
          <w:sz w:val="17"/>
          <w:szCs w:val="17"/>
          <w:color w:val="auto"/>
        </w:rPr>
        <w:t>If, during the Company’s last completed fiscal year, the Company was required to prepare an Accounting Restatement that required recovery of Erroneously Awarded Compensation pursuant to this Policy, or if there was an outstanding balance at the end of the last completed fiscal year of Erroneously Awarded Compensation to be recovered, the Company will disclose the following information in its Annual Report on Form 20-F:</w:t>
      </w:r>
    </w:p>
    <w:p>
      <w:pPr>
        <w:spacing w:after="0" w:line="158" w:lineRule="exact"/>
        <w:rPr>
          <w:sz w:val="20"/>
          <w:szCs w:val="20"/>
          <w:color w:val="auto"/>
        </w:rPr>
      </w:pPr>
    </w:p>
    <w:p>
      <w:pPr>
        <w:ind w:left="660" w:right="100" w:hanging="328"/>
        <w:spacing w:after="0" w:line="266"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was required to prepare an Accounting Restatement and the aggregate dollar amount of Erroneously Awarded Compensation attributable to such Accounting Restatement, including separate disclosure of the aggregate dollar amount of such Erroneously Awarded Compensation that remains outstanding at the end of the last completed fiscal year;</w:t>
      </w:r>
    </w:p>
    <w:p>
      <w:pPr>
        <w:spacing w:after="0" w:line="175"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individual who served as an executive director or for whom the Company otherwise provides individualized compensation disclosure in its Annual Report, individual disclosure regarding:</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aggregate dollar amount of Erroneously Awarded Compensation attributable to such Accounting Restatement,</w:t>
      </w:r>
    </w:p>
    <w:p>
      <w:pPr>
        <w:spacing w:after="0" w:line="224" w:lineRule="exact"/>
        <w:rPr>
          <w:rFonts w:ascii="Arial" w:cs="Arial" w:eastAsia="Arial" w:hAnsi="Arial"/>
          <w:sz w:val="18"/>
          <w:szCs w:val="18"/>
          <w:b w:val="1"/>
          <w:bCs w:val="1"/>
          <w:color w:val="auto"/>
        </w:rPr>
      </w:pPr>
    </w:p>
    <w:p>
      <w:pPr>
        <w:ind w:left="1300" w:hanging="320"/>
        <w:spacing w:after="0"/>
        <w:tabs>
          <w:tab w:leader="none" w:pos="1300" w:val="left"/>
        </w:tabs>
        <w:numPr>
          <w:ilvl w:val="1"/>
          <w:numId w:val="14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estimates used to determine such amount and an explanation of the methodology used for such estimates,</w:t>
      </w:r>
    </w:p>
    <w:p>
      <w:pPr>
        <w:spacing w:after="0" w:line="224" w:lineRule="exact"/>
        <w:rPr>
          <w:rFonts w:ascii="Arial" w:cs="Arial" w:eastAsia="Arial" w:hAnsi="Arial"/>
          <w:sz w:val="18"/>
          <w:szCs w:val="18"/>
          <w:b w:val="1"/>
          <w:bCs w:val="1"/>
          <w:color w:val="auto"/>
        </w:rPr>
      </w:pPr>
    </w:p>
    <w:p>
      <w:pPr>
        <w:ind w:left="1300" w:hanging="320"/>
        <w:spacing w:after="0"/>
        <w:tabs>
          <w:tab w:leader="none" w:pos="1300" w:val="left"/>
        </w:tabs>
        <w:numPr>
          <w:ilvl w:val="1"/>
          <w:numId w:val="141"/>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The aggregate amount of Erroneously Awarded Compensation that remains outstanding at the end of the last completed fiscal year, and</w:t>
      </w:r>
    </w:p>
    <w:p>
      <w:pPr>
        <w:spacing w:after="0" w:line="235" w:lineRule="exact"/>
        <w:rPr>
          <w:rFonts w:ascii="Arial" w:cs="Arial" w:eastAsia="Arial" w:hAnsi="Arial"/>
          <w:sz w:val="17"/>
          <w:szCs w:val="17"/>
          <w:b w:val="1"/>
          <w:bCs w:val="1"/>
          <w:color w:val="auto"/>
        </w:rPr>
      </w:pPr>
    </w:p>
    <w:p>
      <w:pPr>
        <w:ind w:left="1300" w:hanging="320"/>
        <w:spacing w:after="0"/>
        <w:tabs>
          <w:tab w:leader="none" w:pos="1300" w:val="left"/>
        </w:tabs>
        <w:numPr>
          <w:ilvl w:val="1"/>
          <w:numId w:val="14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specific actions the Company has taken to recover such amounts;</w:t>
      </w:r>
    </w:p>
    <w:p>
      <w:pPr>
        <w:spacing w:after="0" w:line="224" w:lineRule="exact"/>
        <w:rPr>
          <w:rFonts w:ascii="Arial" w:cs="Arial" w:eastAsia="Arial" w:hAnsi="Arial"/>
          <w:sz w:val="18"/>
          <w:szCs w:val="18"/>
          <w:b w:val="1"/>
          <w:bCs w:val="1"/>
          <w:color w:val="auto"/>
        </w:rPr>
      </w:pPr>
    </w:p>
    <w:p>
      <w:pPr>
        <w:jc w:val="both"/>
        <w:ind w:left="580" w:hanging="248"/>
        <w:spacing w:after="0" w:line="266" w:lineRule="auto"/>
        <w:tabs>
          <w:tab w:leader="none" w:pos="5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the end of the fiscal year immediately following the fiscal year in which the Company was required to prepare an Accounting Restatement, the Company has determined that Erroneously Awarded Compensation is impracticable to recover pursuant to one of the exceptions in Section 5 above, disclosure of such determination and the applicable exception.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 Form 20-F Cover Page Checkboxes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complete the applicable checkboxes on the cover page of its Form 20-F to indicate:</w:t>
      </w:r>
    </w:p>
    <w:p>
      <w:pPr>
        <w:spacing w:after="0" w:line="225" w:lineRule="exact"/>
        <w:rPr>
          <w:sz w:val="20"/>
          <w:szCs w:val="20"/>
          <w:color w:val="auto"/>
        </w:rPr>
      </w:pPr>
    </w:p>
    <w:p>
      <w:pPr>
        <w:ind w:left="660" w:hanging="328"/>
        <w:spacing w:after="0"/>
        <w:tabs>
          <w:tab w:leader="none" w:pos="660" w:val="left"/>
        </w:tabs>
        <w:numPr>
          <w:ilvl w:val="1"/>
          <w:numId w:val="1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the financial statements included in the filing reflect correction of an error to previously issued financial statements; and</w:t>
      </w:r>
    </w:p>
    <w:p>
      <w:pPr>
        <w:spacing w:after="0" w:line="224" w:lineRule="exact"/>
        <w:rPr>
          <w:rFonts w:ascii="Arial" w:cs="Arial" w:eastAsia="Arial" w:hAnsi="Arial"/>
          <w:sz w:val="18"/>
          <w:szCs w:val="18"/>
          <w:b w:val="1"/>
          <w:bCs w:val="1"/>
          <w:color w:val="auto"/>
        </w:rPr>
      </w:pPr>
    </w:p>
    <w:p>
      <w:pPr>
        <w:ind w:left="660" w:right="340" w:hanging="328"/>
        <w:spacing w:after="0" w:line="281" w:lineRule="auto"/>
        <w:tabs>
          <w:tab w:leader="none" w:pos="660" w:val="left"/>
        </w:tabs>
        <w:numPr>
          <w:ilvl w:val="1"/>
          <w:numId w:val="1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any of those error corrections are restatements that required a recovery analysis of Incentive-Based Compensation received by any of the Company’s Executive Officers during the relevant Recovery Period pursuant to this Policy.</w:t>
      </w:r>
    </w:p>
    <w:p>
      <w:pPr>
        <w:spacing w:after="0" w:line="151" w:lineRule="exact"/>
        <w:rPr>
          <w:rFonts w:ascii="Arial" w:cs="Arial" w:eastAsia="Arial" w:hAnsi="Arial"/>
          <w:sz w:val="18"/>
          <w:szCs w:val="18"/>
          <w:b w:val="1"/>
          <w:bCs w:val="1"/>
          <w:color w:val="auto"/>
        </w:rPr>
      </w:pPr>
    </w:p>
    <w:p>
      <w:pPr>
        <w:ind w:left="260" w:hanging="252"/>
        <w:spacing w:after="0"/>
        <w:tabs>
          <w:tab w:leader="none" w:pos="260" w:val="left"/>
        </w:tabs>
        <w:numPr>
          <w:ilvl w:val="0"/>
          <w:numId w:val="142"/>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INTERPRETATION AND AMENDMENT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 Interpretation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Administrator shall interpret and construe this Policy and make all determinations necessary, appropriate, or advisable for the administration of this Policy. All determinations and interpretations by the Administrator shall be final, binding, and conclusive.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786" w:right="539" w:bottom="1440" w:gutter="0" w:footer="0" w:header="0"/>
        </w:sectPr>
      </w:pPr>
    </w:p>
    <w:bookmarkStart w:id="161" w:name="page162"/>
    <w:bookmarkEnd w:id="161"/>
    <w:p>
      <w:pPr>
        <w:ind w:right="20"/>
        <w:spacing w:after="0" w:line="266" w:lineRule="auto"/>
        <w:rPr>
          <w:sz w:val="20"/>
          <w:szCs w:val="20"/>
          <w:color w:val="auto"/>
        </w:rPr>
      </w:pPr>
      <w:r>
        <w:rPr>
          <w:rFonts w:ascii="Times New Roman" w:cs="Times New Roman" w:eastAsia="Times New Roman" w:hAnsi="Times New Roman"/>
          <w:sz w:val="18"/>
          <w:szCs w:val="18"/>
          <w:color w:val="auto"/>
        </w:rPr>
        <w:t>This Policy shall be interpreted in a manner consistent with Rule 10D-1 under the Exchange Act, Nasdaq Listing Rule 5608, and any applicable rules, regulations, and guidance issued by the SEC or Nasdaq. In the event of any inconsistency between this Policy and such rules, regulations, or guidance, the rules, regulations, or guidance shall govern.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 Amendment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Board may amend, modify, or terminate this Policy at any time in its sole discretion; provided, however, that the Policy shall at all times comply with the requirements of Rule 10D-1 under the Exchange Act and Nasdaq Listing Rule 5608, or any successor provisions, to the extent such rule or listing requirement is applicable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 Coordination with Other Policies and Agreements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Policy shall supplement, and not supersede, any other clawback, recoupment, or similar policies adopted by the Company, as well as any remedies available to the Company under applicable law, regulation (including, without limitation, Section 304 of the Sarbanes-Oxley Act of 2002), or the Company’s governing documents or other policies. To the extent that other policies or contractual provisions require recovery of compensation in circumstances different from or in addition to those specified in this Policy, both this Policy and such other policies or provisions shall apply, and recovery of compensation need not be duplicative.</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of any conflict between the terms of this Policy and the terms of any employment agreement, incentive compensation plan, equity plan, award agreement, or other compensatory arrangement, this Policy shall prevail.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8.4 Irish Law Compliance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Nothing in this Policy is intended to contravene Irish company law, Irish employment law, or other mandatory provisions of Irish law. The Company shall seek guidance from Irish legal counsel where necessary to ensure compliance with applicable Irish law in implementing this Policy. In the event of any irreconcilable conflict between this Policy and mandatory Irish law, the Company shall comply with Irish law and shall notify Nasdaq of such conflict and the Company’s approach to resolving it.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9. EXECUTIVE OFFICER ACKNOWLEDGMENT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Executive Officer shall be required to sign an acknowledgment that they:</w:t>
      </w:r>
    </w:p>
    <w:p>
      <w:pPr>
        <w:spacing w:after="0" w:line="225" w:lineRule="exact"/>
        <w:rPr>
          <w:sz w:val="20"/>
          <w:szCs w:val="20"/>
          <w:color w:val="auto"/>
        </w:rPr>
      </w:pPr>
    </w:p>
    <w:p>
      <w:pPr>
        <w:ind w:left="660" w:hanging="328"/>
        <w:spacing w:after="0"/>
        <w:tabs>
          <w:tab w:leader="none" w:pos="660" w:val="left"/>
        </w:tabs>
        <w:numPr>
          <w:ilvl w:val="0"/>
          <w:numId w:val="1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Have received and reviewed a copy of this Policy;</w:t>
      </w:r>
    </w:p>
    <w:p>
      <w:pPr>
        <w:spacing w:after="0" w:line="227" w:lineRule="exact"/>
        <w:rPr>
          <w:rFonts w:ascii="Arial" w:cs="Arial" w:eastAsia="Arial" w:hAnsi="Arial"/>
          <w:sz w:val="18"/>
          <w:szCs w:val="18"/>
          <w:b w:val="1"/>
          <w:bCs w:val="1"/>
          <w:color w:val="auto"/>
        </w:rPr>
      </w:pPr>
    </w:p>
    <w:p>
      <w:pPr>
        <w:ind w:left="660" w:hanging="328"/>
        <w:spacing w:after="0"/>
        <w:tabs>
          <w:tab w:leader="none" w:pos="660" w:val="left"/>
        </w:tabs>
        <w:numPr>
          <w:ilvl w:val="0"/>
          <w:numId w:val="1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Understand that this Policy applies to all Incentive-Based Compensation Received on or after January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2026;</w:t>
      </w:r>
    </w:p>
    <w:p>
      <w:pPr>
        <w:spacing w:after="0" w:line="135" w:lineRule="exact"/>
        <w:rPr>
          <w:rFonts w:ascii="Arial" w:cs="Arial" w:eastAsia="Arial" w:hAnsi="Arial"/>
          <w:sz w:val="18"/>
          <w:szCs w:val="18"/>
          <w:b w:val="1"/>
          <w:bCs w:val="1"/>
          <w:color w:val="auto"/>
        </w:rPr>
      </w:pPr>
    </w:p>
    <w:p>
      <w:pPr>
        <w:ind w:left="660" w:hanging="328"/>
        <w:spacing w:after="0"/>
        <w:tabs>
          <w:tab w:leader="none" w:pos="660" w:val="left"/>
        </w:tabs>
        <w:numPr>
          <w:ilvl w:val="0"/>
          <w:numId w:val="1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Acknowledge and agree that they are bound by the terms of this Policy and that it is enforceable against them;</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Acknowledge that any Incentive-Based Compensation is subject to recoupment under this Policy in accordance with its terms;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Agree to abide by the terms of this Policy.</w:t>
      </w:r>
    </w:p>
    <w:p>
      <w:pPr>
        <w:spacing w:after="0" w:line="22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shall require each Executive Officer to execute such an acknowledgment as a condition of receiving Incentive-Based Compensation following adoption of this Policy.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5"/>
          <w:szCs w:val="25"/>
          <w:b w:val="1"/>
          <w:bCs w:val="1"/>
          <w:color w:val="auto"/>
        </w:rPr>
        <w:t>10. OTHER MATTERS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 No Additional Payments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Erroneously Awarded Compensation shall be calculated and recovered on a gross basis (before taxes). The Company shall not be required to provide, and shall not provide, any additional payment (including for taxes) in connection with the recovery of Erroneously Awarded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10.2 Successors</w:t>
      </w:r>
    </w:p>
    <w:p>
      <w:pPr>
        <w:spacing w:after="0" w:line="229"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Executive Officers and their beneficiaries, heirs, executors, administrators, and other legal representatives.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10.3 Enforceability; Severability</w:t>
      </w:r>
    </w:p>
    <w:p>
      <w:pPr>
        <w:spacing w:after="0" w:line="22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It is intended that this Policy be enforceable to the fullest extent permitted by applicable law. If any provision of this Policy is deemed unenforceable or invalid, such provision shall be modified to the minimum extent necessary to make it enforceable and valid, or if such modification is not possible, such provision shall be severed from this Policy to the extent of such unenforceability or invalidity. The unenforceability or invalidity of any provision of this Policy shall not affect the enforceability or validity of any other provision.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10.3 Governing Law</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Policy shall be governed by and construed in accordance with the laws of Ireland, to the extent applicable, and otherwise in accordance with the laws of the State of Delaware, United States, without regard to conflicts of laws principles. Notwithstanding the foregoing, with respect to matters of U.S. federal securities law, such matters shall be governed by applicable U.S. federal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ADOPTION AND EFFECTIVE DATE</w:t>
      </w:r>
    </w:p>
    <w:p>
      <w:pPr>
        <w:spacing w:after="0" w:line="233" w:lineRule="exact"/>
        <w:rPr>
          <w:sz w:val="20"/>
          <w:szCs w:val="20"/>
          <w:color w:val="auto"/>
        </w:rPr>
      </w:pPr>
    </w:p>
    <w:p>
      <w:pPr>
        <w:ind w:right="300"/>
        <w:spacing w:after="0" w:line="216" w:lineRule="auto"/>
        <w:rPr>
          <w:sz w:val="20"/>
          <w:szCs w:val="20"/>
          <w:color w:val="auto"/>
        </w:rPr>
      </w:pPr>
      <w:r>
        <w:rPr>
          <w:rFonts w:ascii="Times New Roman" w:cs="Times New Roman" w:eastAsia="Times New Roman" w:hAnsi="Times New Roman"/>
          <w:sz w:val="18"/>
          <w:szCs w:val="18"/>
          <w:color w:val="auto"/>
        </w:rPr>
        <w:t>This Policy was adopted by the Board of Directors of Davion Healthcare Plc on January 2nd 2026 and is effective as of January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2026. This Policy applies to all Incentive-Based Compensation Received by Executive Officers on or after the Effective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Attested by Company Secretary: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Jackson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Jackson – Kurdam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Secretary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786" w:right="459" w:bottom="1440" w:gutter="0" w:footer="0" w:header="0"/>
        </w:sectPr>
      </w:pPr>
    </w:p>
    <w:bookmarkStart w:id="163" w:name="page164"/>
    <w:bookmarkEnd w:id="163"/>
    <w:p>
      <w:pPr>
        <w:ind w:left="10120"/>
        <w:spacing w:after="0"/>
        <w:rPr>
          <w:sz w:val="20"/>
          <w:szCs w:val="20"/>
          <w:color w:val="auto"/>
        </w:rPr>
      </w:pPr>
      <w:r>
        <w:rPr>
          <w:rFonts w:ascii="Times New Roman" w:cs="Times New Roman" w:eastAsia="Times New Roman" w:hAnsi="Times New Roman"/>
          <w:sz w:val="21"/>
          <w:szCs w:val="21"/>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330200</wp:posOffset>
            </wp:positionV>
            <wp:extent cx="1019810" cy="643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101981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MALBRITE LTD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WithumSmith + Brown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1835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 19103-2945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7"/>
          <w:szCs w:val="17"/>
          <w:color w:val="auto"/>
        </w:rPr>
        <w:t>31st March 2026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of Financial Support for Davion Healthcare Plc</w:t>
      </w:r>
    </w:p>
    <w:p>
      <w:pPr>
        <w:spacing w:after="0" w:line="229"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We write to confirm that we have been providing financial support to Davion Healthcare Plc, a public limited company (now incorporated in the Republic of Ireland. and previously incorporated in Cyprus), for the past 3 years to assist in meeting the Company’s financial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acknowledge that Davion Healthcare Plc has relied on this financial support in maintaining its operations.</w:t>
      </w:r>
    </w:p>
    <w:p>
      <w:pPr>
        <w:spacing w:after="0" w:line="225"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We hereby confirm that Malbrite Ltd, will continue to provide financial support as necessary to enable Davion Healthcare Plc to meet its costs and obligations as they fall due for a period of at least 12 months from the date of the signing of the Company's audited financial statements for the financial year ended 31 December 2025, or until such time as the Company is able to generate sufficient funds to meet its financial obligations independently, whichever is the sooner.</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This support will be provided on terms that ensure the Company remains a going concern, and we confirm that we have the necessary financial resources available to meet these commitments. However, this letter does not constitute a legally binding obligation on our part, nor does it create any contractual liability or commitment beyond our stated intention to provide such support.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you require any further clarification, please do not hesitate to contact us.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Jack Kaye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Jack Kaye</w:t>
      </w:r>
    </w:p>
    <w:p>
      <w:pPr>
        <w:spacing w:after="0" w:line="31"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auto"/>
        </w:rPr>
        <w:t>264 High Street</w:t>
      </w:r>
    </w:p>
    <w:p>
      <w:pPr>
        <w:spacing w:after="0" w:line="21" w:lineRule="exact"/>
        <w:rPr>
          <w:sz w:val="20"/>
          <w:szCs w:val="20"/>
          <w:color w:val="auto"/>
        </w:rPr>
      </w:pPr>
    </w:p>
    <w:p>
      <w:pPr>
        <w:spacing w:after="0"/>
        <w:tabs>
          <w:tab w:leader="none" w:pos="9220" w:val="left"/>
        </w:tabs>
        <w:rPr>
          <w:sz w:val="20"/>
          <w:szCs w:val="20"/>
          <w:color w:val="auto"/>
        </w:rPr>
      </w:pPr>
      <w:r>
        <w:rPr>
          <w:rFonts w:ascii="Times New Roman" w:cs="Times New Roman" w:eastAsia="Times New Roman" w:hAnsi="Times New Roman"/>
          <w:sz w:val="18"/>
          <w:szCs w:val="18"/>
          <w:color w:val="auto"/>
        </w:rPr>
        <w:t>Chief Executive Officer</w:t>
      </w:r>
      <w:r>
        <w:rPr>
          <w:sz w:val="20"/>
          <w:szCs w:val="20"/>
          <w:color w:val="auto"/>
        </w:rPr>
        <w:tab/>
      </w:r>
      <w:r>
        <w:rPr>
          <w:rFonts w:ascii="Times New Roman" w:cs="Times New Roman" w:eastAsia="Times New Roman" w:hAnsi="Times New Roman"/>
          <w:sz w:val="18"/>
          <w:szCs w:val="18"/>
          <w:color w:val="auto"/>
        </w:rPr>
        <w:t>Beckenham Kent BR3 1DZ</w:t>
      </w:r>
    </w:p>
    <w:p>
      <w:pPr>
        <w:spacing w:after="0" w:line="9"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8"/>
          <w:szCs w:val="18"/>
          <w:color w:val="auto"/>
        </w:rPr>
        <w:t>United Kingdom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+44 203 355 3215</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admin@malbrite.com www.malbrite.com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1."/>
      <w:numFmt w:val="upperLetter"/>
      <w:start w:val="1"/>
    </w:lvl>
  </w:abstractNum>
  <w:abstractNum w:abstractNumId="5">
    <w:nsid w:val="540A471C"/>
    <w:multiLevelType w:val="hybridMultilevel"/>
    <w:lvl w:ilvl="0">
      <w:lvlJc w:val="left"/>
      <w:lvlText w:val="%1."/>
      <w:numFmt w:val="upperLetter"/>
      <w:start w:val="2"/>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1."/>
      <w:numFmt w:val="upperLetter"/>
      <w:start w:val="3"/>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1)"/>
      <w:numFmt w:val="lowerRoman"/>
      <w:start w:val="3"/>
    </w:lvl>
  </w:abstractNum>
  <w:abstractNum w:abstractNumId="27">
    <w:nsid w:val="6F6DD9AC"/>
    <w:multiLevelType w:val="hybridMultilevel"/>
    <w:lvl w:ilvl="0">
      <w:lvlJc w:val="left"/>
      <w:lvlText w:val="(%1)"/>
      <w:numFmt w:val="decimal"/>
      <w:start w:val="1"/>
    </w:lvl>
  </w:abstractNum>
  <w:abstractNum w:abstractNumId="28">
    <w:nsid w:val="94211F2"/>
    <w:multiLevelType w:val="hybridMultilevel"/>
    <w:lvl w:ilvl="0">
      <w:lvlJc w:val="left"/>
      <w:lvlText w:val="(%1)"/>
      <w:numFmt w:val="decimal"/>
      <w:start w:val="1"/>
    </w:lvl>
  </w:abstractNum>
  <w:abstractNum w:abstractNumId="29">
    <w:nsid w:val="885E1B"/>
    <w:multiLevelType w:val="hybridMultilevel"/>
    <w:lvl w:ilvl="0">
      <w:lvlJc w:val="left"/>
      <w:lvlText w:val="%1."/>
      <w:numFmt w:val="upperLetter"/>
      <w:start w:val="1"/>
    </w:lvl>
  </w:abstractNum>
  <w:abstractNum w:abstractNumId="30">
    <w:nsid w:val="76272110"/>
    <w:multiLevelType w:val="hybridMultilevel"/>
    <w:lvl w:ilvl="0">
      <w:lvlJc w:val="left"/>
      <w:lvlText w:val="%1."/>
      <w:numFmt w:val="upperLetter"/>
      <w:start w:val="6"/>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1."/>
      <w:numFmt w:val="upperLetter"/>
      <w:start w:val="6"/>
    </w:lvl>
  </w:abstractNum>
  <w:abstractNum w:abstractNumId="35">
    <w:nsid w:val="74DE0EE3"/>
    <w:multiLevelType w:val="hybridMultilevel"/>
    <w:lvl w:ilvl="0">
      <w:lvlJc w:val="left"/>
      <w:lvlText w:val="%1."/>
      <w:numFmt w:val="upperLetter"/>
      <w:start w:val="9"/>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1"/>
      <w:numFmt w:val="bullet"/>
      <w:start w:val="1"/>
    </w:lvl>
  </w:abstractNum>
  <w:abstractNum w:abstractNumId="39">
    <w:nsid w:val="4A2AC315"/>
    <w:multiLevelType w:val="hybridMultilevel"/>
    <w:lvl w:ilvl="0">
      <w:lvlJc w:val="left"/>
      <w:lvlText w:val="\endash "/>
      <w:numFmt w:val="bullet"/>
      <w:start w:val="1"/>
    </w:lvl>
  </w:abstractNum>
  <w:abstractNum w:abstractNumId="40">
    <w:nsid w:val="39EE015C"/>
    <w:multiLevelType w:val="hybridMultilevel"/>
    <w:lvl w:ilvl="0">
      <w:lvlJc w:val="left"/>
      <w:lvlText w:val="%1."/>
      <w:numFmt w:val="decimal"/>
      <w:start w:val="1"/>
    </w:lvl>
  </w:abstractNum>
  <w:abstractNum w:abstractNumId="41">
    <w:nsid w:val="57FC4FBB"/>
    <w:multiLevelType w:val="hybridMultilevel"/>
    <w:lvl w:ilvl="0">
      <w:lvlJc w:val="left"/>
      <w:lvlText w:val="·"/>
      <w:numFmt w:val="bullet"/>
      <w:start w:val="1"/>
    </w:lvl>
  </w:abstractNum>
  <w:abstractNum w:abstractNumId="42">
    <w:nsid w:val="CC1016F"/>
    <w:multiLevelType w:val="hybridMultilevel"/>
    <w:lvl w:ilvl="0">
      <w:lvlJc w:val="left"/>
      <w:lvlText w:val="2"/>
      <w:numFmt w:val="bullet"/>
      <w:start w:val="1"/>
    </w:lvl>
  </w:abstractNum>
  <w:abstractNum w:abstractNumId="43">
    <w:nsid w:val="43F18422"/>
    <w:multiLevelType w:val="hybridMultilevel"/>
    <w:lvl w:ilvl="0">
      <w:lvlJc w:val="left"/>
      <w:lvlText w:val="3"/>
      <w:numFmt w:val="bullet"/>
      <w:start w:val="1"/>
    </w:lvl>
  </w:abstractNum>
  <w:abstractNum w:abstractNumId="44">
    <w:nsid w:val="60EF0119"/>
    <w:multiLevelType w:val="hybridMultilevel"/>
    <w:lvl w:ilvl="0">
      <w:lvlJc w:val="left"/>
      <w:lvlText w:val="4"/>
      <w:numFmt w:val="bullet"/>
      <w:start w:val="1"/>
    </w:lvl>
  </w:abstractNum>
  <w:abstractNum w:abstractNumId="45">
    <w:nsid w:val="26F324BA"/>
    <w:multiLevelType w:val="hybridMultilevel"/>
    <w:lvl w:ilvl="0">
      <w:lvlJc w:val="left"/>
      <w:lvlText w:val="6"/>
      <w:numFmt w:val="bullet"/>
      <w:start w:val="1"/>
    </w:lvl>
  </w:abstractNum>
  <w:abstractNum w:abstractNumId="46">
    <w:nsid w:val="7F01579B"/>
    <w:multiLevelType w:val="hybridMultilevel"/>
    <w:lvl w:ilvl="0">
      <w:lvlJc w:val="left"/>
      <w:lvlText w:val="7"/>
      <w:numFmt w:val="bullet"/>
      <w:start w:val="1"/>
    </w:lvl>
  </w:abstractNum>
  <w:abstractNum w:abstractNumId="47">
    <w:nsid w:val="49DA307D"/>
    <w:multiLevelType w:val="hybridMultilevel"/>
    <w:lvl w:ilvl="0">
      <w:lvlJc w:val="left"/>
      <w:lvlText w:val="·"/>
      <w:numFmt w:val="bullet"/>
      <w:start w:val="1"/>
    </w:lvl>
  </w:abstractNum>
  <w:abstractNum w:abstractNumId="48">
    <w:nsid w:val="7055A5F5"/>
    <w:multiLevelType w:val="hybridMultilevel"/>
    <w:lvl w:ilvl="0">
      <w:lvlJc w:val="left"/>
      <w:lvlText w:val="·"/>
      <w:numFmt w:val="bullet"/>
      <w:start w:val="1"/>
    </w:lvl>
  </w:abstractNum>
  <w:abstractNum w:abstractNumId="49">
    <w:nsid w:val="5FB8370B"/>
    <w:multiLevelType w:val="hybridMultilevel"/>
    <w:lvl w:ilvl="0">
      <w:lvlJc w:val="left"/>
      <w:lvlText w:val="·"/>
      <w:numFmt w:val="bullet"/>
      <w:start w:val="1"/>
    </w:lvl>
  </w:abstractNum>
  <w:abstractNum w:abstractNumId="50">
    <w:nsid w:val="50801EE1"/>
    <w:multiLevelType w:val="hybridMultilevel"/>
    <w:lvl w:ilvl="0">
      <w:lvlJc w:val="left"/>
      <w:lvlText w:val="8"/>
      <w:numFmt w:val="bullet"/>
      <w:start w:val="1"/>
    </w:lvl>
  </w:abstractNum>
  <w:abstractNum w:abstractNumId="51">
    <w:nsid w:val="488AC1A"/>
    <w:multiLevelType w:val="hybridMultilevel"/>
    <w:lvl w:ilvl="0">
      <w:lvlJc w:val="left"/>
      <w:lvlText w:val="9"/>
      <w:numFmt w:val="bullet"/>
      <w:start w:val="1"/>
    </w:lvl>
  </w:abstractNum>
  <w:abstractNum w:abstractNumId="52">
    <w:nsid w:val="5FB8011C"/>
    <w:multiLevelType w:val="hybridMultilevel"/>
    <w:lvl w:ilvl="0">
      <w:lvlJc w:val="left"/>
      <w:lvlText w:val="%1"/>
      <w:numFmt w:val="decimal"/>
      <w:start w:val="10"/>
    </w:lvl>
  </w:abstractNum>
  <w:abstractNum w:abstractNumId="53">
    <w:nsid w:val="6AA78F7F"/>
    <w:multiLevelType w:val="hybridMultilevel"/>
    <w:lvl w:ilvl="0">
      <w:lvlJc w:val="left"/>
      <w:lvlText w:val="\endash "/>
      <w:numFmt w:val="bullet"/>
      <w:start w:val="1"/>
    </w:lvl>
  </w:abstractNum>
  <w:abstractNum w:abstractNumId="54">
    <w:nsid w:val="7672BD23"/>
    <w:multiLevelType w:val="hybridMultilevel"/>
    <w:lvl w:ilvl="0">
      <w:lvlJc w:val="left"/>
      <w:lvlText w:val="·"/>
      <w:numFmt w:val="bullet"/>
      <w:start w:val="1"/>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1"/>
      <w:numFmt w:val="decimal"/>
      <w:start w:val="107"/>
    </w:lvl>
  </w:abstractNum>
  <w:abstractNum w:abstractNumId="57">
    <w:nsid w:val="7D5E18F8"/>
    <w:multiLevelType w:val="hybridMultilevel"/>
    <w:lvl w:ilvl="0">
      <w:lvlJc w:val="left"/>
      <w:lvlText w:val="*"/>
      <w:numFmt w:val="bullet"/>
      <w:start w:val="1"/>
    </w:lvl>
  </w:abstractNum>
  <w:abstractNum w:abstractNumId="58">
    <w:nsid w:val="5F3534A4"/>
    <w:multiLevelType w:val="hybridMultilevel"/>
    <w:lvl w:ilvl="0">
      <w:lvlJc w:val="left"/>
      <w:lvlText w:val="%1."/>
      <w:numFmt w:val="decimal"/>
      <w:start w:val="1"/>
    </w:lvl>
    <w:lvl w:ilvl="1">
      <w:lvlJc w:val="left"/>
      <w:lvlText w:val="(%2)"/>
      <w:numFmt w:val="lowerLetter"/>
      <w:start w:val="1"/>
    </w:lvl>
  </w:abstractNum>
  <w:abstractNum w:abstractNumId="59">
    <w:nsid w:val="73A1821B"/>
    <w:multiLevelType w:val="hybridMultilevel"/>
    <w:lvl w:ilvl="0">
      <w:lvlJc w:val="left"/>
      <w:lvlText w:val="%1."/>
      <w:numFmt w:val="decimal"/>
      <w:start w:val="2"/>
    </w:lvl>
    <w:lvl w:ilvl="1">
      <w:lvlJc w:val="left"/>
      <w:lvlText w:val="(%2)"/>
      <w:numFmt w:val="lowerLetter"/>
      <w:start w:val="1"/>
    </w:lvl>
  </w:abstractNum>
  <w:abstractNum w:abstractNumId="60">
    <w:nsid w:val="7DE67713"/>
    <w:multiLevelType w:val="hybridMultilevel"/>
    <w:lvl w:ilvl="0">
      <w:lvlJc w:val="left"/>
      <w:lvlText w:val="%1"/>
      <w:numFmt w:val="decimal"/>
      <w:start w:val="1"/>
    </w:lvl>
    <w:lvl w:ilvl="1">
      <w:lvlJc w:val="left"/>
      <w:lvlText w:val="(%2)"/>
      <w:numFmt w:val="lowerLetter"/>
      <w:start w:val="3"/>
    </w:lvl>
  </w:abstractNum>
  <w:abstractNum w:abstractNumId="61">
    <w:nsid w:val="555C55B5"/>
    <w:multiLevelType w:val="hybridMultilevel"/>
    <w:lvl w:ilvl="0">
      <w:lvlJc w:val="left"/>
      <w:lvlText w:val="%1."/>
      <w:numFmt w:val="decimal"/>
      <w:start w:val="4"/>
    </w:lvl>
    <w:lvl w:ilvl="1">
      <w:lvlJc w:val="left"/>
      <w:lvlText w:val="%2"/>
      <w:numFmt w:val="lowerLetter"/>
      <w:start w:val="1"/>
    </w:lvl>
  </w:abstractNum>
  <w:abstractNum w:abstractNumId="62">
    <w:nsid w:val="3FA62ACA"/>
    <w:multiLevelType w:val="hybridMultilevel"/>
    <w:lvl w:ilvl="0">
      <w:lvlJc w:val="left"/>
      <w:lvlText w:val="%1."/>
      <w:numFmt w:val="decimal"/>
      <w:start w:val="8"/>
    </w:lvl>
  </w:abstractNum>
  <w:abstractNum w:abstractNumId="63">
    <w:nsid w:val="14FCE74E"/>
    <w:multiLevelType w:val="hybridMultilevel"/>
    <w:lvl w:ilvl="0">
      <w:lvlJc w:val="left"/>
      <w:lvlText w:val="%1."/>
      <w:numFmt w:val="decimal"/>
      <w:start w:val="10"/>
    </w:lvl>
  </w:abstractNum>
  <w:abstractNum w:abstractNumId="64">
    <w:nsid w:val="6A3DD3E8"/>
    <w:multiLevelType w:val="hybridMultilevel"/>
    <w:lvl w:ilvl="0">
      <w:lvlJc w:val="left"/>
      <w:lvlText w:val="%1."/>
      <w:numFmt w:val="upperLetter"/>
      <w:start w:val="1"/>
    </w:lvl>
  </w:abstractNum>
  <w:abstractNum w:abstractNumId="65">
    <w:nsid w:val="71C91298"/>
    <w:multiLevelType w:val="hybridMultilevel"/>
    <w:lvl w:ilvl="0">
      <w:lvlJc w:val="left"/>
      <w:lvlText w:val="%1."/>
      <w:numFmt w:val="decimal"/>
      <w:start w:val="1"/>
    </w:lvl>
  </w:abstractNum>
  <w:abstractNum w:abstractNumId="66">
    <w:nsid w:val="9DAF632"/>
    <w:multiLevelType w:val="hybridMultilevel"/>
    <w:lvl w:ilvl="0">
      <w:lvlJc w:val="left"/>
      <w:lvlText w:val="%1."/>
      <w:numFmt w:val="decimal"/>
      <w:start w:val="2"/>
    </w:lvl>
  </w:abstractNum>
  <w:abstractNum w:abstractNumId="67">
    <w:nsid w:val="53299938"/>
    <w:multiLevelType w:val="hybridMultilevel"/>
    <w:lvl w:ilvl="0">
      <w:lvlJc w:val="left"/>
      <w:lvlText w:val="%1"/>
      <w:numFmt w:val="lowerRoman"/>
      <w:start w:val="1"/>
    </w:lvl>
    <w:lvl w:ilvl="1">
      <w:lvlJc w:val="left"/>
      <w:lvlText w:val="%2."/>
      <w:numFmt w:val="decimal"/>
      <w:start w:val="4"/>
    </w:lvl>
  </w:abstractNum>
  <w:abstractNum w:abstractNumId="68">
    <w:nsid w:val="1FBFE8E0"/>
    <w:multiLevelType w:val="hybridMultilevel"/>
    <w:lvl w:ilvl="0">
      <w:lvlJc w:val="left"/>
      <w:lvlText w:val="(%1)"/>
      <w:numFmt w:val="lowerRoman"/>
      <w:start w:val="6"/>
    </w:lvl>
    <w:lvl w:ilvl="1">
      <w:lvlJc w:val="left"/>
      <w:lvlText w:val="%2"/>
      <w:numFmt w:val="decimal"/>
      <w:start w:val="1"/>
    </w:lvl>
  </w:abstractNum>
  <w:abstractNum w:abstractNumId="69">
    <w:nsid w:val="5092CA79"/>
    <w:multiLevelType w:val="hybridMultilevel"/>
    <w:lvl w:ilvl="0">
      <w:lvlJc w:val="left"/>
      <w:lvlText w:val="%1."/>
      <w:numFmt w:val="decimal"/>
      <w:start w:val="5"/>
    </w:lvl>
  </w:abstractNum>
  <w:abstractNum w:abstractNumId="70">
    <w:nsid w:val="1D545C4D"/>
    <w:multiLevelType w:val="hybridMultilevel"/>
    <w:lvl w:ilvl="0">
      <w:lvlJc w:val="left"/>
      <w:lvlText w:val="%1."/>
      <w:numFmt w:val="decimal"/>
      <w:start w:val="6"/>
    </w:lvl>
  </w:abstractNum>
  <w:abstractNum w:abstractNumId="71">
    <w:nsid w:val="59ADEA3D"/>
    <w:multiLevelType w:val="hybridMultilevel"/>
    <w:lvl w:ilvl="0">
      <w:lvlJc w:val="left"/>
      <w:lvlText w:val="%1."/>
      <w:numFmt w:val="decimal"/>
      <w:start w:val="7"/>
    </w:lvl>
  </w:abstractNum>
  <w:abstractNum w:abstractNumId="72">
    <w:nsid w:val="288F1A34"/>
    <w:multiLevelType w:val="hybridMultilevel"/>
    <w:lvl w:ilvl="0">
      <w:lvlJc w:val="left"/>
      <w:lvlText w:val="%1."/>
      <w:numFmt w:val="decimal"/>
      <w:start w:val="11"/>
    </w:lvl>
  </w:abstractNum>
  <w:abstractNum w:abstractNumId="73">
    <w:nsid w:val="2A155DBC"/>
    <w:multiLevelType w:val="hybridMultilevel"/>
    <w:lvl w:ilvl="0">
      <w:lvlJc w:val="left"/>
      <w:lvlText w:val="%1."/>
      <w:numFmt w:val="decimal"/>
      <w:start w:val="1"/>
    </w:lvl>
  </w:abstractNum>
  <w:abstractNum w:abstractNumId="74">
    <w:nsid w:val="1D9F6E5F"/>
    <w:multiLevelType w:val="hybridMultilevel"/>
    <w:lvl w:ilvl="0">
      <w:lvlJc w:val="left"/>
      <w:lvlText w:val="%1"/>
      <w:numFmt w:val="lowerLetter"/>
      <w:start w:val="1"/>
    </w:lvl>
    <w:lvl w:ilvl="1">
      <w:lvlJc w:val="left"/>
      <w:lvlText w:val="(%2)"/>
      <w:numFmt w:val="lowerLetter"/>
      <w:start w:val="1"/>
    </w:lvl>
  </w:abstractNum>
  <w:abstractNum w:abstractNumId="75">
    <w:nsid w:val="97E1B4E"/>
    <w:multiLevelType w:val="hybridMultilevel"/>
    <w:lvl w:ilvl="0">
      <w:lvlJc w:val="left"/>
      <w:lvlText w:val="(%1)"/>
      <w:numFmt w:val="lowerLetter"/>
      <w:start w:val="1"/>
    </w:lvl>
    <w:lvl w:ilvl="1">
      <w:lvlJc w:val="left"/>
      <w:lvlText w:val="(%2)"/>
      <w:numFmt w:val="lowerLetter"/>
      <w:start w:val="3"/>
    </w:lvl>
  </w:abstractNum>
  <w:abstractNum w:abstractNumId="76">
    <w:nsid w:val="51088277"/>
    <w:multiLevelType w:val="hybridMultilevel"/>
    <w:lvl w:ilvl="0">
      <w:lvlJc w:val="left"/>
      <w:lvlText w:val="(%1)"/>
      <w:numFmt w:val="lowerLetter"/>
      <w:start w:val="1"/>
    </w:lvl>
    <w:lvl w:ilvl="1">
      <w:lvlJc w:val="left"/>
      <w:lvlText w:val="(%2)"/>
      <w:numFmt w:val="lowerRoman"/>
      <w:start w:val="1"/>
    </w:lvl>
  </w:abstractNum>
  <w:abstractNum w:abstractNumId="77">
    <w:nsid w:val="1CA0C5FA"/>
    <w:multiLevelType w:val="hybridMultilevel"/>
    <w:lvl w:ilvl="0">
      <w:lvlJc w:val="left"/>
      <w:lvlText w:val="(%1)"/>
      <w:numFmt w:val="lowerLetter"/>
      <w:start w:val="4"/>
    </w:lvl>
  </w:abstractNum>
  <w:abstractNum w:abstractNumId="78">
    <w:nsid w:val="53584BCB"/>
    <w:multiLevelType w:val="hybridMultilevel"/>
    <w:lvl w:ilvl="0">
      <w:lvlJc w:val="left"/>
      <w:lvlText w:val="(%1)"/>
      <w:numFmt w:val="decimal"/>
      <w:start w:val="120"/>
    </w:lvl>
  </w:abstractNum>
  <w:abstractNum w:abstractNumId="79">
    <w:nsid w:val="415E286C"/>
    <w:multiLevelType w:val="hybridMultilevel"/>
    <w:lvl w:ilvl="0">
      <w:lvlJc w:val="left"/>
      <w:lvlText w:val="(%1)"/>
      <w:numFmt w:val="decimal"/>
      <w:start w:val="10"/>
    </w:lvl>
  </w:abstractNum>
  <w:abstractNum w:abstractNumId="80">
    <w:nsid w:val="7C58FD05"/>
    <w:multiLevelType w:val="hybridMultilevel"/>
    <w:lvl w:ilvl="0">
      <w:lvlJc w:val="left"/>
      <w:lvlText w:val="%1."/>
      <w:numFmt w:val="decimal"/>
      <w:start w:val="5"/>
    </w:lvl>
  </w:abstractNum>
  <w:abstractNum w:abstractNumId="81">
    <w:nsid w:val="23D86AAC"/>
    <w:multiLevelType w:val="hybridMultilevel"/>
    <w:lvl w:ilvl="0">
      <w:lvlJc w:val="left"/>
      <w:lvlText w:val="%1"/>
      <w:numFmt w:val="decimal"/>
      <w:start w:val="1"/>
    </w:lvl>
    <w:lvl w:ilvl="1">
      <w:lvlJc w:val="left"/>
      <w:lvlText w:val="(%2)"/>
      <w:numFmt w:val="lowerLetter"/>
      <w:start w:val="1"/>
    </w:lvl>
  </w:abstractNum>
  <w:abstractNum w:abstractNumId="82">
    <w:nsid w:val="45E6D486"/>
    <w:multiLevelType w:val="hybridMultilevel"/>
    <w:lvl w:ilvl="0">
      <w:lvlJc w:val="left"/>
      <w:lvlText w:val="(%1)"/>
      <w:numFmt w:val="decimal"/>
      <w:start w:val="3"/>
    </w:lvl>
    <w:lvl w:ilvl="1">
      <w:lvlJc w:val="left"/>
      <w:lvlText w:val="(%2)"/>
      <w:numFmt w:val="lowerLetter"/>
      <w:start w:val="2"/>
    </w:lvl>
  </w:abstractNum>
  <w:abstractNum w:abstractNumId="83">
    <w:nsid w:val="5C10FE21"/>
    <w:multiLevelType w:val="hybridMultilevel"/>
    <w:lvl w:ilvl="0">
      <w:lvlJc w:val="left"/>
      <w:lvlText w:val="(%1)"/>
      <w:numFmt w:val="lowerLetter"/>
      <w:start w:val="3"/>
    </w:lvl>
  </w:abstractNum>
  <w:abstractNum w:abstractNumId="84">
    <w:nsid w:val="E7FFA2B"/>
    <w:multiLevelType w:val="hybridMultilevel"/>
    <w:lvl w:ilvl="0">
      <w:lvlJc w:val="left"/>
      <w:lvlText w:val="(%1)"/>
      <w:numFmt w:val="lowerLetter"/>
      <w:start w:val="1"/>
    </w:lvl>
  </w:abstractNum>
  <w:abstractNum w:abstractNumId="85">
    <w:nsid w:val="3C5991AA"/>
    <w:multiLevelType w:val="hybridMultilevel"/>
    <w:lvl w:ilvl="0">
      <w:lvlJc w:val="left"/>
      <w:lvlText w:val="%1."/>
      <w:numFmt w:val="decimal"/>
      <w:start w:val="6"/>
    </w:lvl>
  </w:abstractNum>
  <w:abstractNum w:abstractNumId="86">
    <w:nsid w:val="4BD8591A"/>
    <w:multiLevelType w:val="hybridMultilevel"/>
    <w:lvl w:ilvl="0">
      <w:lvlJc w:val="left"/>
      <w:lvlText w:val="·"/>
      <w:numFmt w:val="bullet"/>
      <w:start w:val="1"/>
    </w:lvl>
  </w:abstractNum>
  <w:abstractNum w:abstractNumId="87">
    <w:nsid w:val="78DF6A55"/>
    <w:multiLevelType w:val="hybridMultilevel"/>
    <w:lvl w:ilvl="0">
      <w:lvlJc w:val="left"/>
      <w:lvlText w:val="%1."/>
      <w:numFmt w:val="decimal"/>
      <w:start w:val="1"/>
    </w:lvl>
  </w:abstractNum>
  <w:abstractNum w:abstractNumId="88">
    <w:nsid w:val="39B7AAA2"/>
    <w:multiLevelType w:val="hybridMultilevel"/>
    <w:lvl w:ilvl="0">
      <w:lvlJc w:val="left"/>
      <w:lvlText w:val="(%1)"/>
      <w:numFmt w:val="lowerLetter"/>
      <w:start w:val="1"/>
    </w:lvl>
    <w:lvl w:ilvl="1">
      <w:lvlJc w:val="left"/>
      <w:lvlText w:val="·"/>
      <w:numFmt w:val="bullet"/>
      <w:start w:val="1"/>
    </w:lvl>
  </w:abstractNum>
  <w:abstractNum w:abstractNumId="89">
    <w:nsid w:val="2B0D8DBE"/>
    <w:multiLevelType w:val="hybridMultilevel"/>
    <w:lvl w:ilvl="0">
      <w:lvlJc w:val="left"/>
      <w:lvlText w:val="·"/>
      <w:numFmt w:val="bullet"/>
      <w:start w:val="1"/>
    </w:lvl>
  </w:abstractNum>
  <w:abstractNum w:abstractNumId="90">
    <w:nsid w:val="6C80EC70"/>
    <w:multiLevelType w:val="hybridMultilevel"/>
    <w:lvl w:ilvl="0">
      <w:lvlJc w:val="left"/>
      <w:lvlText w:val="%1."/>
      <w:numFmt w:val="decimal"/>
      <w:start w:val="2"/>
    </w:lvl>
  </w:abstractNum>
  <w:abstractNum w:abstractNumId="91">
    <w:nsid w:val="379E21B5"/>
    <w:multiLevelType w:val="hybridMultilevel"/>
    <w:lvl w:ilvl="0">
      <w:lvlJc w:val="left"/>
      <w:lvlText w:val="·"/>
      <w:numFmt w:val="bullet"/>
      <w:start w:val="1"/>
    </w:lvl>
  </w:abstractNum>
  <w:abstractNum w:abstractNumId="92">
    <w:nsid w:val="69E373"/>
    <w:multiLevelType w:val="hybridMultilevel"/>
    <w:lvl w:ilvl="0">
      <w:lvlJc w:val="left"/>
      <w:lvlText w:val="%1."/>
      <w:numFmt w:val="decimal"/>
      <w:start w:val="1"/>
    </w:lvl>
  </w:abstractNum>
  <w:abstractNum w:abstractNumId="93">
    <w:nsid w:val="2C27173B"/>
    <w:multiLevelType w:val="hybridMultilevel"/>
    <w:lvl w:ilvl="0">
      <w:lvlJc w:val="left"/>
      <w:lvlText w:val="%1."/>
      <w:numFmt w:val="decimal"/>
      <w:start w:val="3"/>
    </w:lvl>
  </w:abstractNum>
  <w:abstractNum w:abstractNumId="94">
    <w:nsid w:val="4C9B0904"/>
    <w:multiLevelType w:val="hybridMultilevel"/>
    <w:lvl w:ilvl="0">
      <w:lvlJc w:val="left"/>
      <w:lvlText w:val="·"/>
      <w:numFmt w:val="bullet"/>
      <w:start w:val="1"/>
    </w:lvl>
  </w:abstractNum>
  <w:abstractNum w:abstractNumId="95">
    <w:nsid w:val="6AA7B75C"/>
    <w:multiLevelType w:val="hybridMultilevel"/>
    <w:lvl w:ilvl="0">
      <w:lvlJc w:val="left"/>
      <w:lvlText w:val="%1."/>
      <w:numFmt w:val="decimal"/>
      <w:start w:val="3"/>
    </w:lvl>
    <w:lvl w:ilvl="1">
      <w:lvlJc w:val="left"/>
      <w:lvlText w:val="·"/>
      <w:numFmt w:val="bullet"/>
      <w:start w:val="1"/>
    </w:lvl>
  </w:abstractNum>
  <w:abstractNum w:abstractNumId="96">
    <w:nsid w:val="1DF029D3"/>
    <w:multiLevelType w:val="hybridMultilevel"/>
    <w:lvl w:ilvl="0">
      <w:lvlJc w:val="left"/>
      <w:lvlText w:val="·"/>
      <w:numFmt w:val="bullet"/>
      <w:start w:val="1"/>
    </w:lvl>
  </w:abstractNum>
  <w:abstractNum w:abstractNumId="97">
    <w:nsid w:val="5675FF36"/>
    <w:multiLevelType w:val="hybridMultilevel"/>
    <w:lvl w:ilvl="0">
      <w:lvlJc w:val="left"/>
      <w:lvlText w:val="·"/>
      <w:numFmt w:val="bullet"/>
      <w:start w:val="1"/>
    </w:lvl>
  </w:abstractNum>
  <w:abstractNum w:abstractNumId="98">
    <w:nsid w:val="3DD15094"/>
    <w:multiLevelType w:val="hybridMultilevel"/>
    <w:lvl w:ilvl="0">
      <w:lvlJc w:val="left"/>
      <w:lvlText w:val="%1."/>
      <w:numFmt w:val="decimal"/>
      <w:start w:val="4"/>
    </w:lvl>
    <w:lvl w:ilvl="1">
      <w:lvlJc w:val="left"/>
      <w:lvlText w:val="·"/>
      <w:numFmt w:val="bullet"/>
      <w:start w:val="1"/>
    </w:lvl>
  </w:abstractNum>
  <w:abstractNum w:abstractNumId="99">
    <w:nsid w:val="3DB012B3"/>
    <w:multiLevelType w:val="hybridMultilevel"/>
    <w:lvl w:ilvl="0">
      <w:lvlJc w:val="left"/>
      <w:lvlText w:val="·"/>
      <w:numFmt w:val="bullet"/>
      <w:start w:val="1"/>
    </w:lvl>
  </w:abstractNum>
  <w:abstractNum w:abstractNumId="100">
    <w:nsid w:val="2708C9AF"/>
    <w:multiLevelType w:val="hybridMultilevel"/>
    <w:lvl w:ilvl="0">
      <w:lvlJc w:val="left"/>
      <w:lvlText w:val="·"/>
      <w:numFmt w:val="bullet"/>
      <w:start w:val="1"/>
    </w:lvl>
  </w:abstractNum>
  <w:abstractNum w:abstractNumId="101">
    <w:nsid w:val="5B25ACE2"/>
    <w:multiLevelType w:val="hybridMultilevel"/>
    <w:lvl w:ilvl="0">
      <w:lvlJc w:val="left"/>
      <w:lvlText w:val="%1."/>
      <w:numFmt w:val="decimal"/>
      <w:start w:val="1"/>
    </w:lvl>
  </w:abstractNum>
  <w:abstractNum w:abstractNumId="102">
    <w:nsid w:val="175DFCF0"/>
    <w:multiLevelType w:val="hybridMultilevel"/>
    <w:lvl w:ilvl="0">
      <w:lvlJc w:val="left"/>
      <w:lvlText w:val="%1."/>
      <w:numFmt w:val="decimal"/>
      <w:start w:val="1"/>
    </w:lvl>
    <w:lvl w:ilvl="1">
      <w:lvlJc w:val="left"/>
      <w:lvlText w:val="·"/>
      <w:numFmt w:val="bullet"/>
      <w:start w:val="1"/>
    </w:lvl>
  </w:abstractNum>
  <w:abstractNum w:abstractNumId="103">
    <w:nsid w:val="4F97E3E4"/>
    <w:multiLevelType w:val="hybridMultilevel"/>
    <w:lvl w:ilvl="0">
      <w:lvlJc w:val="left"/>
      <w:lvlText w:val="%1."/>
      <w:numFmt w:val="decimal"/>
      <w:start w:val="3"/>
    </w:lvl>
  </w:abstractNum>
  <w:abstractNum w:abstractNumId="104">
    <w:nsid w:val="53B0A9E"/>
    <w:multiLevelType w:val="hybridMultilevel"/>
    <w:lvl w:ilvl="0">
      <w:lvlJc w:val="left"/>
      <w:lvlText w:val="%1."/>
      <w:numFmt w:val="decimal"/>
      <w:start w:val="4"/>
    </w:lvl>
  </w:abstractNum>
  <w:abstractNum w:abstractNumId="105">
    <w:nsid w:val="34FD6B4F"/>
    <w:multiLevelType w:val="hybridMultilevel"/>
    <w:lvl w:ilvl="0">
      <w:lvlJc w:val="left"/>
      <w:lvlText w:val="·"/>
      <w:numFmt w:val="bullet"/>
      <w:start w:val="1"/>
    </w:lvl>
  </w:abstractNum>
  <w:abstractNum w:abstractNumId="106">
    <w:nsid w:val="5915FF32"/>
    <w:multiLevelType w:val="hybridMultilevel"/>
    <w:lvl w:ilvl="0">
      <w:lvlJc w:val="left"/>
      <w:lvlText w:val="%1."/>
      <w:numFmt w:val="decimal"/>
      <w:start w:val="5"/>
    </w:lvl>
  </w:abstractNum>
  <w:abstractNum w:abstractNumId="107">
    <w:nsid w:val="56438D15"/>
    <w:multiLevelType w:val="hybridMultilevel"/>
    <w:lvl w:ilvl="0">
      <w:lvlJc w:val="left"/>
      <w:lvlText w:val="%1."/>
      <w:numFmt w:val="decimal"/>
      <w:start w:val="5"/>
    </w:lvl>
    <w:lvl w:ilvl="1">
      <w:lvlJc w:val="left"/>
      <w:lvlText w:val="·"/>
      <w:numFmt w:val="bullet"/>
      <w:start w:val="1"/>
    </w:lvl>
  </w:abstractNum>
  <w:abstractNum w:abstractNumId="108">
    <w:nsid w:val="519E3149"/>
    <w:multiLevelType w:val="hybridMultilevel"/>
    <w:lvl w:ilvl="0">
      <w:lvlJc w:val="left"/>
      <w:lvlText w:val="(%1)"/>
      <w:numFmt w:val="lowerRoman"/>
      <w:start w:val="1"/>
    </w:lvl>
  </w:abstractNum>
  <w:abstractNum w:abstractNumId="109">
    <w:nsid w:val="2C6E4AFD"/>
    <w:multiLevelType w:val="hybridMultilevel"/>
    <w:lvl w:ilvl="0">
      <w:lvlJc w:val="left"/>
      <w:lvlText w:val="%1."/>
      <w:numFmt w:val="decimal"/>
      <w:start w:val="7"/>
    </w:lvl>
  </w:abstractNum>
  <w:abstractNum w:abstractNumId="110">
    <w:nsid w:val="17A1B582"/>
    <w:multiLevelType w:val="hybridMultilevel"/>
    <w:lvl w:ilvl="0">
      <w:lvlJc w:val="left"/>
      <w:lvlText w:val="%1)"/>
      <w:numFmt w:val="decimal"/>
      <w:start w:val="1"/>
    </w:lvl>
  </w:abstractNum>
  <w:abstractNum w:abstractNumId="111">
    <w:nsid w:val="4DF72E4E"/>
    <w:multiLevelType w:val="hybridMultilevel"/>
    <w:lvl w:ilvl="0">
      <w:lvlJc w:val="left"/>
      <w:lvlText w:val="l"/>
      <w:numFmt w:val="bullet"/>
      <w:start w:val="1"/>
    </w:lvl>
  </w:abstractNum>
  <w:abstractNum w:abstractNumId="112">
    <w:nsid w:val="5046B5A9"/>
    <w:multiLevelType w:val="hybridMultilevel"/>
    <w:lvl w:ilvl="0">
      <w:lvlJc w:val="left"/>
      <w:lvlText w:val="l"/>
      <w:numFmt w:val="bullet"/>
      <w:start w:val="1"/>
    </w:lvl>
    <w:lvl w:ilvl="1">
      <w:lvlJc w:val="left"/>
      <w:lvlText w:val="¡"/>
      <w:numFmt w:val="bullet"/>
      <w:start w:val="1"/>
    </w:lvl>
  </w:abstractNum>
  <w:abstractNum w:abstractNumId="113">
    <w:nsid w:val="5D888A08"/>
    <w:multiLevelType w:val="hybridMultilevel"/>
    <w:lvl w:ilvl="0">
      <w:lvlJc w:val="left"/>
      <w:lvlText w:val="l"/>
      <w:numFmt w:val="bullet"/>
      <w:start w:val="1"/>
    </w:lvl>
  </w:abstractNum>
  <w:abstractNum w:abstractNumId="114">
    <w:nsid w:val="2A082C70"/>
    <w:multiLevelType w:val="hybridMultilevel"/>
    <w:lvl w:ilvl="0">
      <w:lvlJc w:val="left"/>
      <w:lvlText w:val="%1)"/>
      <w:numFmt w:val="decimal"/>
      <w:start w:val="2"/>
    </w:lvl>
  </w:abstractNum>
  <w:abstractNum w:abstractNumId="115">
    <w:nsid w:val="5EC6AFD4"/>
    <w:multiLevelType w:val="hybridMultilevel"/>
    <w:lvl w:ilvl="0">
      <w:lvlJc w:val="left"/>
      <w:lvlText w:val="%1)"/>
      <w:numFmt w:val="decimal"/>
      <w:start w:val="3"/>
    </w:lvl>
  </w:abstractNum>
  <w:abstractNum w:abstractNumId="116">
    <w:nsid w:val="19E21BB2"/>
    <w:multiLevelType w:val="hybridMultilevel"/>
    <w:lvl w:ilvl="0">
      <w:lvlJc w:val="left"/>
      <w:lvlText w:val="%1)"/>
      <w:numFmt w:val="lowerRoman"/>
      <w:start w:val="1"/>
    </w:lvl>
  </w:abstractNum>
  <w:abstractNum w:abstractNumId="117">
    <w:nsid w:val="75E0858A"/>
    <w:multiLevelType w:val="hybridMultilevel"/>
    <w:lvl w:ilvl="0">
      <w:lvlJc w:val="left"/>
      <w:lvlText w:val="%1)"/>
      <w:numFmt w:val="lowerRoman"/>
      <w:start w:val="2"/>
    </w:lvl>
  </w:abstractNum>
  <w:abstractNum w:abstractNumId="118">
    <w:nsid w:val="57A61A29"/>
    <w:multiLevelType w:val="hybridMultilevel"/>
    <w:lvl w:ilvl="0">
      <w:lvlJc w:val="left"/>
      <w:lvlText w:val="%1)"/>
      <w:numFmt w:val="lowerRoman"/>
      <w:start w:val="1"/>
    </w:lvl>
  </w:abstractNum>
  <w:abstractNum w:abstractNumId="119">
    <w:nsid w:val="5399C654"/>
    <w:multiLevelType w:val="hybridMultilevel"/>
    <w:lvl w:ilvl="0">
      <w:lvlJc w:val="left"/>
      <w:lvlText w:val="-"/>
      <w:numFmt w:val="bullet"/>
      <w:start w:val="1"/>
    </w:lvl>
  </w:abstractNum>
  <w:abstractNum w:abstractNumId="120">
    <w:nsid w:val="20EE1348"/>
    <w:multiLevelType w:val="hybridMultilevel"/>
    <w:lvl w:ilvl="0">
      <w:lvlJc w:val="left"/>
      <w:lvlText w:val="%1)"/>
      <w:numFmt w:val="decimal"/>
      <w:start w:val="4"/>
    </w:lvl>
  </w:abstractNum>
  <w:abstractNum w:abstractNumId="121">
    <w:nsid w:val="4427069A"/>
    <w:multiLevelType w:val="hybridMultilevel"/>
    <w:lvl w:ilvl="0">
      <w:lvlJc w:val="left"/>
      <w:lvlText w:val="%1."/>
      <w:numFmt w:val="decimal"/>
      <w:start w:val="1"/>
    </w:lvl>
    <w:lvl w:ilvl="1">
      <w:lvlJc w:val="left"/>
      <w:lvlText w:val="(%2)"/>
      <w:numFmt w:val="lowerLetter"/>
      <w:start w:val="1"/>
    </w:lvl>
  </w:abstractNum>
  <w:abstractNum w:abstractNumId="122">
    <w:nsid w:val="B37E80A"/>
    <w:multiLevelType w:val="hybridMultilevel"/>
    <w:lvl w:ilvl="0">
      <w:lvlJc w:val="left"/>
      <w:lvlText w:val="%1."/>
      <w:numFmt w:val="decimal"/>
      <w:start w:val="1"/>
    </w:lvl>
    <w:lvl w:ilvl="1">
      <w:lvlJc w:val="left"/>
      <w:lvlText w:val="(%2)"/>
      <w:numFmt w:val="lowerLetter"/>
      <w:start w:val="1"/>
    </w:lvl>
  </w:abstractNum>
  <w:abstractNum w:abstractNumId="123">
    <w:nsid w:val="2157F6BC"/>
    <w:multiLevelType w:val="hybridMultilevel"/>
    <w:lvl w:ilvl="0">
      <w:lvlJc w:val="left"/>
      <w:lvlText w:val="%1."/>
      <w:numFmt w:val="decimal"/>
      <w:start w:val="1"/>
    </w:lvl>
  </w:abstractNum>
  <w:abstractNum w:abstractNumId="124">
    <w:nsid w:val="704E1DD5"/>
    <w:multiLevelType w:val="hybridMultilevel"/>
    <w:lvl w:ilvl="0">
      <w:lvlJc w:val="left"/>
      <w:lvlText w:val="%1."/>
      <w:numFmt w:val="decimal"/>
      <w:start w:val="1"/>
    </w:lvl>
  </w:abstractNum>
  <w:abstractNum w:abstractNumId="125">
    <w:nsid w:val="57D2F10E"/>
    <w:multiLevelType w:val="hybridMultilevel"/>
    <w:lvl w:ilvl="0">
      <w:lvlJc w:val="left"/>
      <w:lvlText w:val="·"/>
      <w:numFmt w:val="bullet"/>
      <w:start w:val="1"/>
    </w:lvl>
  </w:abstractNum>
  <w:abstractNum w:abstractNumId="126">
    <w:nsid w:val="BFFAE18"/>
    <w:multiLevelType w:val="hybridMultilevel"/>
    <w:lvl w:ilvl="0">
      <w:lvlJc w:val="left"/>
      <w:lvlText w:val="%1."/>
      <w:numFmt w:val="decimal"/>
      <w:start w:val="1"/>
    </w:lvl>
  </w:abstractNum>
  <w:abstractNum w:abstractNumId="127">
    <w:nsid w:val="E3E47A8"/>
    <w:multiLevelType w:val="hybridMultilevel"/>
    <w:lvl w:ilvl="0">
      <w:lvlJc w:val="left"/>
      <w:lvlText w:val="%1."/>
      <w:numFmt w:val="decimal"/>
      <w:start w:val="2"/>
    </w:lvl>
  </w:abstractNum>
  <w:abstractNum w:abstractNumId="128">
    <w:nsid w:val="2E48F044"/>
    <w:multiLevelType w:val="hybridMultilevel"/>
    <w:lvl w:ilvl="0">
      <w:lvlJc w:val="left"/>
      <w:lvlText w:val="·"/>
      <w:numFmt w:val="bullet"/>
      <w:start w:val="1"/>
    </w:lvl>
  </w:abstractNum>
  <w:abstractNum w:abstractNumId="129">
    <w:nsid w:val="49D0FEAC"/>
    <w:multiLevelType w:val="hybridMultilevel"/>
    <w:lvl w:ilvl="0">
      <w:lvlJc w:val="left"/>
      <w:lvlText w:val="·"/>
      <w:numFmt w:val="bullet"/>
      <w:start w:val="1"/>
    </w:lvl>
  </w:abstractNum>
  <w:abstractNum w:abstractNumId="130">
    <w:nsid w:val="4BEE5A5B"/>
    <w:multiLevelType w:val="hybridMultilevel"/>
    <w:lvl w:ilvl="0">
      <w:lvlJc w:val="left"/>
      <w:lvlText w:val="·"/>
      <w:numFmt w:val="bullet"/>
      <w:start w:val="1"/>
    </w:lvl>
  </w:abstractNum>
  <w:abstractNum w:abstractNumId="131">
    <w:nsid w:val="5551B9F3"/>
    <w:multiLevelType w:val="hybridMultilevel"/>
    <w:lvl w:ilvl="0">
      <w:lvlJc w:val="left"/>
      <w:lvlText w:val="·"/>
      <w:numFmt w:val="bullet"/>
      <w:start w:val="1"/>
    </w:lvl>
  </w:abstractNum>
  <w:abstractNum w:abstractNumId="132">
    <w:nsid w:val="24F6AB8E"/>
    <w:multiLevelType w:val="hybridMultilevel"/>
    <w:lvl w:ilvl="0">
      <w:lvlJc w:val="left"/>
      <w:lvlText w:val="·"/>
      <w:numFmt w:val="bullet"/>
      <w:start w:val="1"/>
    </w:lvl>
  </w:abstractNum>
  <w:abstractNum w:abstractNumId="133">
    <w:nsid w:val="634C574C"/>
    <w:multiLevelType w:val="hybridMultilevel"/>
    <w:lvl w:ilvl="0">
      <w:lvlJc w:val="left"/>
      <w:lvlText w:val="·"/>
      <w:numFmt w:val="bullet"/>
      <w:start w:val="1"/>
    </w:lvl>
  </w:abstractNum>
  <w:abstractNum w:abstractNumId="134">
    <w:nsid w:val="24E99DD7"/>
    <w:multiLevelType w:val="hybridMultilevel"/>
    <w:lvl w:ilvl="0">
      <w:lvlJc w:val="left"/>
      <w:lvlText w:val="·"/>
      <w:numFmt w:val="bullet"/>
      <w:start w:val="1"/>
    </w:lvl>
  </w:abstractNum>
  <w:abstractNum w:abstractNumId="135">
    <w:nsid w:val="2A31B62D"/>
    <w:multiLevelType w:val="hybridMultilevel"/>
    <w:lvl w:ilvl="0">
      <w:lvlJc w:val="left"/>
      <w:lvlText w:val="%1."/>
      <w:numFmt w:val="decimal"/>
      <w:start w:val="1"/>
    </w:lvl>
  </w:abstractNum>
  <w:abstractNum w:abstractNumId="136">
    <w:nsid w:val="1849C29B"/>
    <w:multiLevelType w:val="hybridMultilevel"/>
    <w:lvl w:ilvl="0">
      <w:lvlJc w:val="left"/>
      <w:lvlText w:val="·"/>
      <w:numFmt w:val="bullet"/>
      <w:start w:val="1"/>
    </w:lvl>
  </w:abstractNum>
  <w:abstractNum w:abstractNumId="137">
    <w:nsid w:val="7DFF9D09"/>
    <w:multiLevelType w:val="hybridMultilevel"/>
    <w:lvl w:ilvl="0">
      <w:lvlJc w:val="left"/>
      <w:lvlText w:val="·"/>
      <w:numFmt w:val="bullet"/>
      <w:start w:val="1"/>
    </w:lvl>
  </w:abstractNum>
  <w:abstractNum w:abstractNumId="138">
    <w:nsid w:val="754342"/>
    <w:multiLevelType w:val="hybridMultilevel"/>
    <w:lvl w:ilvl="0">
      <w:lvlJc w:val="left"/>
      <w:lvlText w:val="%1."/>
      <w:numFmt w:val="decimal"/>
      <w:start w:val="1"/>
    </w:lvl>
  </w:abstractNum>
  <w:abstractNum w:abstractNumId="139">
    <w:nsid w:val="69E7F3E5"/>
    <w:multiLevelType w:val="hybridMultilevel"/>
    <w:lvl w:ilvl="0">
      <w:lvlJc w:val="left"/>
      <w:lvlText w:val="%1."/>
      <w:numFmt w:val="decimal"/>
      <w:start w:val="1"/>
    </w:lvl>
  </w:abstractNum>
  <w:abstractNum w:abstractNumId="140">
    <w:nsid w:val="2A6DE806"/>
    <w:multiLevelType w:val="hybridMultilevel"/>
    <w:lvl w:ilvl="0">
      <w:lvlJc w:val="left"/>
      <w:lvlText w:val="%1."/>
      <w:numFmt w:val="decimal"/>
      <w:start w:val="1"/>
    </w:lvl>
    <w:lvl w:ilvl="1">
      <w:lvlJc w:val="left"/>
      <w:lvlText w:val="·"/>
      <w:numFmt w:val="bullet"/>
      <w:start w:val="1"/>
    </w:lvl>
  </w:abstractNum>
  <w:abstractNum w:abstractNumId="141">
    <w:nsid w:val="1816F8C4"/>
    <w:multiLevelType w:val="hybridMultilevel"/>
    <w:lvl w:ilvl="0">
      <w:lvlJc w:val="left"/>
      <w:lvlText w:val="%1."/>
      <w:numFmt w:val="decimal"/>
      <w:start w:val="7"/>
    </w:lvl>
    <w:lvl w:ilvl="1">
      <w:lvlJc w:val="left"/>
      <w:lvlText w:val="·"/>
      <w:numFmt w:val="bullet"/>
      <w:start w:val="1"/>
    </w:lvl>
  </w:abstractNum>
  <w:abstractNum w:abstractNumId="142">
    <w:nsid w:val="37DF223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jpe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jpe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jpeg"/><Relationship Id="rId196" Type="http://schemas.openxmlformats.org/officeDocument/2006/relationships/image" Target="media/image173.jpe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jpeg"/><Relationship Id="rId131" Type="http://schemas.openxmlformats.org/officeDocument/2006/relationships/hyperlink" Target="http://www.sec.gov/Archives/edgar/data/2039072/000168316825005601/davion_ex0301.htm" TargetMode="External"/><Relationship Id="rId132" Type="http://schemas.openxmlformats.org/officeDocument/2006/relationships/hyperlink" Target="http://www.sec.gov/Archives/edgar/data/2039072/000168316825005601/davion_ex1001.htm" TargetMode="External"/><Relationship Id="rId133" Type="http://schemas.openxmlformats.org/officeDocument/2006/relationships/hyperlink" Target="http://www.sec.gov/Archives/edgar/data/2039072/000168316825005601/davion_ex1002.htm" TargetMode="External"/><Relationship Id="rId134" Type="http://schemas.openxmlformats.org/officeDocument/2006/relationships/hyperlink" Target="https://www.sec.gov/Archives/edgar/data/2039072/000168316825008066/davion_ex1003.htm" TargetMode="External"/><Relationship Id="rId135" Type="http://schemas.openxmlformats.org/officeDocument/2006/relationships/hyperlink" Target="https://www.sec.gov/Archives/edgar/data/2039072/000168316825008066/davion_ex1004.htm" TargetMode="External"/><Relationship Id="rId136" Type="http://schemas.openxmlformats.org/officeDocument/2006/relationships/hyperlink" Target="https://www.sec.gov/Archives/edgar/data/2039072/000168316825008066/davion_ex1005.htm" TargetMode="External"/><Relationship Id="rId137" Type="http://schemas.openxmlformats.org/officeDocument/2006/relationships/hyperlink" Target="https://www.sec.gov/Archives/edgar/data/2039072/000168316825008066/davion_ex1006.htm" TargetMode="External"/><Relationship Id="rId138" Type="http://schemas.openxmlformats.org/officeDocument/2006/relationships/hyperlink" Target="https://www.sec.gov/Archives/edgar/data/2039072/000168316826001483/davion_ex1007.htm" TargetMode="External"/><Relationship Id="rId139" Type="http://schemas.openxmlformats.org/officeDocument/2006/relationships/hyperlink" Target="https://www.sec.gov/Archives/edgar/data/2039072/000168316826001483/davion_ex1009.htm" TargetMode="External"/><Relationship Id="rId140" Type="http://schemas.openxmlformats.org/officeDocument/2006/relationships/hyperlink" Target="https://www.sec.gov/Archives/edgar/data/2039072/000168316825008066/davion_ex3101.htm" TargetMode="External"/><Relationship Id="rId141" Type="http://schemas.openxmlformats.org/officeDocument/2006/relationships/hyperlink" Target="https://www.sec.gov/Archives/edgar/data/2039072/000168316825008066/davion_ex3102.htm" TargetMode="External"/><Relationship Id="rId142" Type="http://schemas.openxmlformats.org/officeDocument/2006/relationships/hyperlink" Target="https://www.sec.gov/Archives/edgar/data/2039072/000168316825008066/davion_ex3200.htm" TargetMode="External"/><Relationship Id="rId143" Type="http://schemas.openxmlformats.org/officeDocument/2006/relationships/hyperlink" Target="https://www.sec.gov/Archives/edgar/data/2039072/000168316825008066/davion_ex9901.htm" TargetMode="External"/><Relationship Id="rId144" Type="http://schemas.openxmlformats.org/officeDocument/2006/relationships/hyperlink" Target="https://www.sec.gov/Archives/edgar/data/2039072/000168316825008066/davion_ex9902.htm" TargetMode="External"/><Relationship Id="rId145" Type="http://schemas.openxmlformats.org/officeDocument/2006/relationships/hyperlink" Target="https://www.sec.gov/Archives/edgar/data/2039072/000168316825008066/davion_ex9903.htm" TargetMode="External"/><Relationship Id="rId146" Type="http://schemas.openxmlformats.org/officeDocument/2006/relationships/hyperlink" Target="http://www.sec.gov/Archives/edgar/data/2039072/000168316825005601/davion_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2026-05-06T13:11:21Z</dcterms:created>
  <dcterms:modified xsi:type="dcterms:W3CDTF">2026-05-06T13:11:21Z</dcterms:modified>
</cp:coreProperties>
</file>